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04"/>
        <w:gridCol w:w="417"/>
        <w:gridCol w:w="1436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190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5497-11-08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באש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3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נאנו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באש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עלה באש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טל עופר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הנאשמים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שלומוביץ ממשרד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אולמן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 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11-02-2009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5497-11-08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ענאן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נאנו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באש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עילית אפשטיין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תמי 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16-02-2009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5497-11-08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ינאן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נאנו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באש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22-02-2009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5497-11-08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ינאן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נאנו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באש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ספיר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חמודי מסרי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יוסי זילברברג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15-10-2009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3655/09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ענאן באש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זוארץ 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</w:t>
      </w:r>
      <w:r>
        <w:rPr>
          <w:rFonts w:cs="FrankRuehl" w:ascii="FrankRuehl" w:hAnsi="FrankRuehl"/>
          <w:rtl w:val="true"/>
        </w:rPr>
        <w:t xml:space="preserve">' 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bookmarkStart w:id="10" w:name="ABSTRACT_START"/>
      <w:bookmarkEnd w:id="10"/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 להודיית הנאשמים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הרשעתי אותם בעבירות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חבלה במזיד ברכב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הובלה ונשיאה של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hyperlink r:id="rId1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ירי בשטח בנוי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השמדת ראיה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הרשעתי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 של מעשה פזיזות ורשלנות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ובעבירה של 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הודיית הנאשמים באה לאחר הסדר טיעון שבמסגרתו תוקן כתב האישום וב</w:t>
      </w:r>
      <w:r>
        <w:rPr>
          <w:rtl w:val="true"/>
        </w:rPr>
        <w:t>"</w:t>
      </w:r>
      <w:r>
        <w:rPr>
          <w:rtl w:val="true"/>
        </w:rPr>
        <w:t>כ הצדדים הסכימו כי על כל אחד מהנאשמים יוטל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וכי הטיעון לעונש יהא פתוח</w:t>
      </w:r>
      <w:r>
        <w:rPr>
          <w:rtl w:val="true"/>
        </w:rPr>
        <w:t xml:space="preserve">. </w:t>
      </w:r>
      <w:r>
        <w:rPr>
          <w:rtl w:val="true"/>
        </w:rPr>
        <w:t>עוד הסכימו ב</w:t>
      </w:r>
      <w:r>
        <w:rPr>
          <w:rtl w:val="true"/>
        </w:rPr>
        <w:t>"</w:t>
      </w:r>
      <w:r>
        <w:rPr>
          <w:rtl w:val="true"/>
        </w:rPr>
        <w:t>כ הצדדים כי 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שבו עשו הנאשמים שימוש בעת ביצוע העבירות</w:t>
      </w:r>
      <w:r>
        <w:rPr>
          <w:rtl w:val="true"/>
        </w:rPr>
        <w:t xml:space="preserve">, </w:t>
      </w:r>
      <w:r>
        <w:rPr>
          <w:rtl w:val="true"/>
        </w:rPr>
        <w:t>יוחזר לבעליו הרשום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מכתב האישום המתוקן</w:t>
      </w:r>
      <w:r>
        <w:rPr>
          <w:rtl w:val="true"/>
        </w:rPr>
        <w:t xml:space="preserve">, </w:t>
      </w:r>
      <w:r>
        <w:rPr>
          <w:rtl w:val="true"/>
        </w:rPr>
        <w:t>מהודיית הנאשמים ומהבהרת התביעה</w:t>
      </w:r>
      <w:r>
        <w:rPr>
          <w:rtl w:val="true"/>
        </w:rPr>
        <w:t xml:space="preserve">, </w:t>
      </w:r>
      <w:r>
        <w:rPr>
          <w:rtl w:val="true"/>
        </w:rPr>
        <w:t>עולה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בין הנאשמים לבין יוסף אבו</w:t>
      </w:r>
      <w:r>
        <w:rPr>
          <w:rtl w:val="true"/>
        </w:rPr>
        <w:t>-</w:t>
      </w:r>
      <w:r>
        <w:rPr>
          <w:rtl w:val="true"/>
        </w:rPr>
        <w:t>כלב נתגלעה מחלוקת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בתאריך </w:t>
      </w:r>
      <w:r>
        <w:rPr/>
        <w:t>24.10.08</w:t>
      </w:r>
      <w:r>
        <w:rPr>
          <w:rtl w:val="true"/>
        </w:rPr>
        <w:t xml:space="preserve">, </w:t>
      </w:r>
      <w:r>
        <w:rPr>
          <w:rtl w:val="true"/>
        </w:rPr>
        <w:t xml:space="preserve">במרכז הכרמל בחיפה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הזירה</w:t>
      </w:r>
      <w:r>
        <w:rPr>
          <w:rtl w:val="true"/>
        </w:rPr>
        <w:t xml:space="preserve">"), </w:t>
      </w:r>
      <w:r>
        <w:rPr>
          <w:rtl w:val="true"/>
        </w:rPr>
        <w:t>התפתח עימות בין הנאשמים לבין פאדי ח</w:t>
      </w:r>
      <w:r>
        <w:rPr>
          <w:rtl w:val="true"/>
        </w:rPr>
        <w:t>'</w:t>
      </w:r>
      <w:r>
        <w:rPr>
          <w:rtl w:val="true"/>
        </w:rPr>
        <w:t xml:space="preserve">ליפה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שהינו עובד של יוסף אבו</w:t>
      </w:r>
      <w:r>
        <w:rPr>
          <w:rtl w:val="true"/>
        </w:rPr>
        <w:t>-</w:t>
      </w:r>
      <w:r>
        <w:rPr>
          <w:rtl w:val="true"/>
        </w:rPr>
        <w:t>כלב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במהלך העימות</w:t>
      </w:r>
      <w:r>
        <w:rPr>
          <w:rtl w:val="true"/>
        </w:rPr>
        <w:t xml:space="preserve">, </w:t>
      </w:r>
      <w:r>
        <w:rPr>
          <w:rtl w:val="true"/>
        </w:rPr>
        <w:t xml:space="preserve">תקפו הנאשמים את המתלונן בידיהם ולאחר מכן חיבלו במזיד ברכבו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באמצעות מוט ברזל וכלי משחית אחרים</w:t>
      </w:r>
      <w:r>
        <w:rPr>
          <w:rtl w:val="true"/>
        </w:rPr>
        <w:t xml:space="preserve">, </w:t>
      </w:r>
      <w:r>
        <w:rPr>
          <w:rtl w:val="true"/>
        </w:rPr>
        <w:t>בכך שניפצו את חלונות הרכב</w:t>
      </w:r>
      <w:r>
        <w:rPr>
          <w:rtl w:val="true"/>
        </w:rPr>
        <w:t xml:space="preserve">, </w:t>
      </w:r>
      <w:r>
        <w:rPr>
          <w:rtl w:val="true"/>
        </w:rPr>
        <w:t>נקבו את צמיגיו</w:t>
      </w:r>
      <w:r>
        <w:rPr>
          <w:rtl w:val="true"/>
        </w:rPr>
        <w:t xml:space="preserve">, </w:t>
      </w:r>
      <w:r>
        <w:rPr>
          <w:rtl w:val="true"/>
        </w:rPr>
        <w:t>שרטו את הרכב</w:t>
      </w:r>
      <w:r>
        <w:rPr>
          <w:rtl w:val="true"/>
        </w:rPr>
        <w:t xml:space="preserve">, </w:t>
      </w:r>
      <w:r>
        <w:rPr>
          <w:rtl w:val="true"/>
        </w:rPr>
        <w:t>הכו בפח הרכב וכן בעטו ברכב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 שחיבלו ברכב</w:t>
      </w:r>
      <w:r>
        <w:rPr>
          <w:rtl w:val="true"/>
        </w:rPr>
        <w:t xml:space="preserve">, </w:t>
      </w:r>
      <w:r>
        <w:rPr>
          <w:rtl w:val="true"/>
        </w:rPr>
        <w:t xml:space="preserve">נכנסו הנאשמים לרכבם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") </w:t>
      </w:r>
      <w:r>
        <w:rPr>
          <w:rtl w:val="true"/>
        </w:rPr>
        <w:t xml:space="preserve">ונאשם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 לכיוון דרך הים</w:t>
      </w:r>
      <w:r>
        <w:rPr>
          <w:rtl w:val="true"/>
        </w:rPr>
        <w:t xml:space="preserve">, </w:t>
      </w:r>
      <w:r>
        <w:rPr>
          <w:rtl w:val="true"/>
        </w:rPr>
        <w:t>נגד כיוון התנועה וללא אורות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הצטיידו הנאשמים באקדח</w:t>
      </w:r>
      <w:r>
        <w:rPr>
          <w:rtl w:val="true"/>
        </w:rPr>
        <w:t xml:space="preserve">, </w:t>
      </w:r>
      <w:r>
        <w:rPr>
          <w:rtl w:val="true"/>
        </w:rPr>
        <w:t xml:space="preserve">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אותו הביאו ממקום מסתור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כשברשותם האקדח</w:t>
      </w:r>
      <w:r>
        <w:rPr>
          <w:rtl w:val="true"/>
        </w:rPr>
        <w:t xml:space="preserve">, </w:t>
      </w:r>
      <w:r>
        <w:rPr>
          <w:rtl w:val="true"/>
        </w:rPr>
        <w:t>חזרו הנאשמים לזירה</w:t>
      </w:r>
      <w:r>
        <w:rPr>
          <w:rtl w:val="true"/>
        </w:rPr>
        <w:t xml:space="preserve">, </w:t>
      </w:r>
      <w:r>
        <w:rPr>
          <w:rtl w:val="true"/>
        </w:rPr>
        <w:t xml:space="preserve">כשנאשם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 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החנה את הג</w:t>
      </w:r>
      <w:r>
        <w:rPr>
          <w:rtl w:val="true"/>
        </w:rPr>
        <w:t>'</w:t>
      </w:r>
      <w:r>
        <w:rPr>
          <w:rtl w:val="true"/>
        </w:rPr>
        <w:t>יפ בסמוך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או אז ירד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מהג</w:t>
      </w:r>
      <w:r>
        <w:rPr>
          <w:rtl w:val="true"/>
        </w:rPr>
        <w:t>'</w:t>
      </w:r>
      <w:r>
        <w:rPr>
          <w:rtl w:val="true"/>
        </w:rPr>
        <w:t>יפ ובעומדו בקרבת המתלונן</w:t>
      </w:r>
      <w:r>
        <w:rPr>
          <w:rtl w:val="true"/>
        </w:rPr>
        <w:t xml:space="preserve">, </w:t>
      </w:r>
      <w:r>
        <w:rPr>
          <w:rtl w:val="true"/>
        </w:rPr>
        <w:t>ירה מספר כדורים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נמלט לכיוון תחנת הדלק הסמוכה</w:t>
      </w:r>
      <w:r>
        <w:rPr>
          <w:rtl w:val="true"/>
        </w:rPr>
        <w:t xml:space="preserve">. </w:t>
      </w:r>
      <w:r>
        <w:rPr>
          <w:rtl w:val="true"/>
        </w:rPr>
        <w:t>כל אותה העת</w:t>
      </w:r>
      <w:r>
        <w:rPr>
          <w:rtl w:val="true"/>
        </w:rPr>
        <w:t xml:space="preserve">, </w:t>
      </w:r>
      <w:r>
        <w:rPr>
          <w:rtl w:val="true"/>
        </w:rPr>
        <w:t xml:space="preserve">המתין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השוטר אלי אסיס</w:t>
      </w:r>
      <w:r>
        <w:rPr>
          <w:rtl w:val="true"/>
        </w:rPr>
        <w:t xml:space="preserve">, </w:t>
      </w:r>
      <w:r>
        <w:rPr>
          <w:rtl w:val="true"/>
        </w:rPr>
        <w:t>ששהה אותה העת בסמוך לזירה</w:t>
      </w:r>
      <w:r>
        <w:rPr>
          <w:rtl w:val="true"/>
        </w:rPr>
        <w:t xml:space="preserve">, </w:t>
      </w:r>
      <w:r>
        <w:rPr>
          <w:rtl w:val="true"/>
        </w:rPr>
        <w:t xml:space="preserve">החל לרוץ לכיוון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תוך שהוא יורה באוויר ומתקרב 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 xml:space="preserve">מששמע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יריות השוטר</w:t>
      </w:r>
      <w:r>
        <w:rPr>
          <w:rtl w:val="true"/>
        </w:rPr>
        <w:t xml:space="preserve">, </w:t>
      </w:r>
      <w:r>
        <w:rPr>
          <w:rtl w:val="true"/>
        </w:rPr>
        <w:t>נכנס 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השוטר נעמד במרחק מטרים ספורים מהג</w:t>
      </w:r>
      <w:r>
        <w:rPr>
          <w:rtl w:val="true"/>
        </w:rPr>
        <w:t>'</w:t>
      </w:r>
      <w:r>
        <w:rPr>
          <w:rtl w:val="true"/>
        </w:rPr>
        <w:t>יפ וצעק</w:t>
      </w:r>
      <w:r>
        <w:rPr>
          <w:rtl w:val="true"/>
        </w:rPr>
        <w:t>: "</w:t>
      </w:r>
      <w:r>
        <w:rPr>
          <w:rtl w:val="true"/>
        </w:rPr>
        <w:t>משטרה לצאת מהרכב</w:t>
      </w:r>
      <w:r>
        <w:rPr>
          <w:rtl w:val="true"/>
        </w:rPr>
        <w:t xml:space="preserve">", </w:t>
      </w:r>
      <w:r>
        <w:rPr>
          <w:rtl w:val="true"/>
        </w:rPr>
        <w:t>כל זאת כשהוא לבוש אפוד זוהר משטרתי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 בנסיעה פראית לכיוון השוטר</w:t>
      </w:r>
      <w:r>
        <w:rPr>
          <w:rtl w:val="true"/>
        </w:rPr>
        <w:t xml:space="preserve">, </w:t>
      </w:r>
      <w:r>
        <w:rPr>
          <w:rtl w:val="true"/>
        </w:rPr>
        <w:t>ומשהתקרב הג</w:t>
      </w:r>
      <w:r>
        <w:rPr>
          <w:rtl w:val="true"/>
        </w:rPr>
        <w:t>'</w:t>
      </w:r>
      <w:r>
        <w:rPr>
          <w:rtl w:val="true"/>
        </w:rPr>
        <w:t>יפ לשוטר</w:t>
      </w:r>
      <w:r>
        <w:rPr>
          <w:rtl w:val="true"/>
        </w:rPr>
        <w:t xml:space="preserve">, </w:t>
      </w:r>
      <w:r>
        <w:rPr>
          <w:rtl w:val="true"/>
        </w:rPr>
        <w:t>ירה השוטר שתי יריות לכיוון הצמיג השמאלי הקדמי של 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 xml:space="preserve">אולם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ברח בנהיגה פרועה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במועד ובמקום שאינם ידועים למאשימה</w:t>
      </w:r>
      <w:r>
        <w:rPr>
          <w:rtl w:val="true"/>
        </w:rPr>
        <w:t xml:space="preserve">, </w:t>
      </w:r>
      <w:r>
        <w:rPr>
          <w:rtl w:val="true"/>
        </w:rPr>
        <w:t>שברו הנאשמים את האקדח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לענין 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הגיש גליונות הרשעות קודמות של שני הנאשמים ולגבי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הגיש גם את הרשעותיו הקודמות בגין עבירות תנועה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הגישו מכתב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המעיד על כך שהנאשמים סייעו לאנשים המצויים במצוקה כלכלית</w:t>
      </w:r>
      <w:r>
        <w:rPr>
          <w:rtl w:val="true"/>
        </w:rPr>
        <w:t xml:space="preserve">. </w:t>
      </w:r>
      <w:r>
        <w:rPr>
          <w:rtl w:val="true"/>
        </w:rPr>
        <w:t xml:space="preserve">עוד הגישו מסמך המעיד על הריונה של אשת 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נולדה התינוקת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התייחס בחומרה רבה למעשי הנאשמים</w:t>
      </w:r>
      <w:r>
        <w:rPr>
          <w:rtl w:val="true"/>
        </w:rPr>
        <w:t xml:space="preserve">. </w:t>
      </w:r>
      <w:r>
        <w:rPr>
          <w:rtl w:val="true"/>
        </w:rPr>
        <w:t>הוא ציין כי מדובר ב</w:t>
      </w:r>
      <w:r>
        <w:rPr>
          <w:rtl w:val="true"/>
        </w:rPr>
        <w:t>"</w:t>
      </w:r>
      <w:r>
        <w:rPr>
          <w:rtl w:val="true"/>
        </w:rPr>
        <w:t>אירוע מתגלגל</w:t>
      </w:r>
      <w:r>
        <w:rPr>
          <w:rtl w:val="true"/>
        </w:rPr>
        <w:t xml:space="preserve">" </w:t>
      </w:r>
      <w:r>
        <w:rPr>
          <w:rtl w:val="true"/>
        </w:rPr>
        <w:t>שהלך והסלים למדרג גבוה מאד של חומרה</w:t>
      </w:r>
      <w:r>
        <w:rPr>
          <w:rtl w:val="true"/>
        </w:rPr>
        <w:t xml:space="preserve">. </w:t>
      </w:r>
      <w:r>
        <w:rPr>
          <w:rtl w:val="true"/>
        </w:rPr>
        <w:t>הוא הדגיש</w:t>
      </w:r>
      <w:r>
        <w:rPr>
          <w:rtl w:val="true"/>
        </w:rPr>
        <w:t xml:space="preserve">, </w:t>
      </w:r>
      <w:r>
        <w:rPr>
          <w:rtl w:val="true"/>
        </w:rPr>
        <w:t>כי בירי במרכז הכרמל יש משום עזות מצח המעיד על מסוכנותם של הנאשמים</w:t>
      </w:r>
      <w:r>
        <w:rPr>
          <w:rtl w:val="true"/>
        </w:rPr>
        <w:t xml:space="preserve">. </w:t>
      </w:r>
      <w:r>
        <w:rPr>
          <w:rtl w:val="true"/>
        </w:rPr>
        <w:t>הנאשמים לא התחשבו כלל בסיכונים שנוצרו על 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הבהיר</w:t>
      </w:r>
      <w:r>
        <w:rPr>
          <w:rtl w:val="true"/>
        </w:rPr>
        <w:t xml:space="preserve">, </w:t>
      </w:r>
      <w:r>
        <w:rPr>
          <w:rtl w:val="true"/>
        </w:rPr>
        <w:t>כי מדיניות ביהמ</w:t>
      </w:r>
      <w:r>
        <w:rPr>
          <w:rtl w:val="true"/>
        </w:rPr>
        <w:t>"</w:t>
      </w:r>
      <w:r>
        <w:rPr>
          <w:rtl w:val="true"/>
        </w:rPr>
        <w:t>ש העליון מחייבת החמרה אף בגין החזקת נשק ונשיאתו וקל וחומר בגין שימוש בו</w:t>
      </w:r>
      <w:r>
        <w:rPr>
          <w:rtl w:val="true"/>
        </w:rPr>
        <w:t xml:space="preserve">. </w:t>
      </w:r>
      <w:r>
        <w:rPr>
          <w:rtl w:val="true"/>
        </w:rPr>
        <w:t>במקרים כאלו</w:t>
      </w:r>
      <w:r>
        <w:rPr>
          <w:rtl w:val="true"/>
        </w:rPr>
        <w:t xml:space="preserve">, </w:t>
      </w:r>
      <w:r>
        <w:rPr>
          <w:rtl w:val="true"/>
        </w:rPr>
        <w:t>יש להעדיף את אינטרס הציבור על פני נסיבותיהם האישיות של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עמד הפרקליט על נהיגתו הפרועה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תוך התעלמות מציווי 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ציין לחומרה גם את השמדת הראיה ע</w:t>
      </w:r>
      <w:r>
        <w:rPr>
          <w:rtl w:val="true"/>
        </w:rPr>
        <w:t>"</w:t>
      </w:r>
      <w:r>
        <w:rPr>
          <w:rtl w:val="true"/>
        </w:rPr>
        <w:t>י הנאשמים</w:t>
      </w:r>
      <w:r>
        <w:rPr>
          <w:rtl w:val="true"/>
        </w:rPr>
        <w:t xml:space="preserve">, </w:t>
      </w:r>
      <w:r>
        <w:rPr>
          <w:rtl w:val="true"/>
        </w:rPr>
        <w:t>שנועדה לשבש משפט וכן את עברם הפלילי של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 דהתביעה</w:t>
      </w:r>
      <w:r>
        <w:rPr>
          <w:rtl w:val="true"/>
        </w:rPr>
        <w:t xml:space="preserve">, </w:t>
      </w:r>
      <w:r>
        <w:rPr>
          <w:rtl w:val="true"/>
        </w:rPr>
        <w:t>יש לגזור במקרה הנדון</w:t>
      </w:r>
      <w:r>
        <w:rPr>
          <w:rtl w:val="true"/>
        </w:rPr>
        <w:t xml:space="preserve">, </w:t>
      </w:r>
      <w:r>
        <w:rPr>
          <w:rtl w:val="true"/>
        </w:rPr>
        <w:t>עונש חמור ומרתיע</w:t>
      </w:r>
      <w:r>
        <w:rPr>
          <w:rtl w:val="true"/>
        </w:rPr>
        <w:t xml:space="preserve">, </w:t>
      </w:r>
      <w:r>
        <w:rPr>
          <w:rtl w:val="true"/>
        </w:rPr>
        <w:t>דהיינו עונש מאסר ממושך ומאסר מותנה וכן</w:t>
      </w:r>
      <w:r>
        <w:rPr>
          <w:rtl w:val="true"/>
        </w:rPr>
        <w:t xml:space="preserve">, </w:t>
      </w:r>
      <w:r>
        <w:rPr>
          <w:rtl w:val="true"/>
        </w:rPr>
        <w:t>בהתאם להסדר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שיושת על כל נאשם באופן שישולם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הנאשמים</w:t>
      </w:r>
      <w:r>
        <w:rPr>
          <w:rtl w:val="true"/>
        </w:rPr>
        <w:t xml:space="preserve"> ציינו</w:t>
      </w:r>
      <w:r>
        <w:rPr>
          <w:rtl w:val="true"/>
        </w:rPr>
        <w:t xml:space="preserve">, </w:t>
      </w:r>
      <w:r>
        <w:rPr>
          <w:rtl w:val="true"/>
        </w:rPr>
        <w:t>כי מלכתחילה יוחסו לנאשמים מעשים חמורים הרבה יותר ולאחר בדיקה נוספת נוסח כתב האישום הנדון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גרסו</w:t>
      </w:r>
      <w:r>
        <w:rPr>
          <w:rtl w:val="true"/>
        </w:rPr>
        <w:t xml:space="preserve">, </w:t>
      </w:r>
      <w:r>
        <w:rPr>
          <w:rtl w:val="true"/>
        </w:rPr>
        <w:t>כי תוצאות המעשים מעידות על כך שהנאשמים שלטו על מעשיהם ולא סיכנו אחרים כפי שגרסה התביעה</w:t>
      </w:r>
      <w:r>
        <w:rPr>
          <w:rtl w:val="true"/>
        </w:rPr>
        <w:t xml:space="preserve">. </w:t>
      </w:r>
      <w:r>
        <w:rPr>
          <w:rtl w:val="true"/>
        </w:rPr>
        <w:t>לדעתם</w:t>
      </w:r>
      <w:r>
        <w:rPr>
          <w:rtl w:val="true"/>
        </w:rPr>
        <w:t xml:space="preserve">, </w:t>
      </w:r>
      <w:r>
        <w:rPr>
          <w:rtl w:val="true"/>
        </w:rPr>
        <w:t xml:space="preserve">אם יוחמר עונשם של מי </w:t>
      </w:r>
      <w:r>
        <w:rPr>
          <w:rtl w:val="true"/>
        </w:rPr>
        <w:t>"</w:t>
      </w:r>
      <w:r>
        <w:rPr>
          <w:rtl w:val="true"/>
        </w:rPr>
        <w:t>שלא פגעו ולא כיוונו אל האנשים את הנשק</w:t>
      </w:r>
      <w:r>
        <w:rPr>
          <w:rtl w:val="true"/>
        </w:rPr>
        <w:t xml:space="preserve">", </w:t>
      </w:r>
      <w:r>
        <w:rPr>
          <w:rtl w:val="true"/>
        </w:rPr>
        <w:t>אזי יופר האיזון הנדרש בין מעשי עבירה 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ביקשו לשקול לקולא את הודיית הנאשמים שחסכו זמן שיפוטי יקר</w:t>
      </w:r>
      <w:r>
        <w:rPr>
          <w:rtl w:val="true"/>
        </w:rPr>
        <w:t xml:space="preserve">, </w:t>
      </w:r>
      <w:r>
        <w:rPr>
          <w:rtl w:val="true"/>
        </w:rPr>
        <w:t>שכן משפט זה עלול היה להמשך בשל היקפו ובשל זהותם של עדי התביעה</w:t>
      </w:r>
      <w:r>
        <w:rPr>
          <w:rtl w:val="true"/>
        </w:rPr>
        <w:t xml:space="preserve">, </w:t>
      </w:r>
      <w:r>
        <w:rPr>
          <w:rtl w:val="true"/>
        </w:rPr>
        <w:t>זמן מממושך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 הסנגורים</w:t>
      </w:r>
      <w:r>
        <w:rPr>
          <w:rtl w:val="true"/>
        </w:rPr>
        <w:t xml:space="preserve">, </w:t>
      </w:r>
      <w:r>
        <w:rPr>
          <w:rtl w:val="true"/>
        </w:rPr>
        <w:t>עברם של הנאשמים אינו מכביד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לא ריצו מאסר מאחורי סורג ובריח 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ביצע העבירה האחרונה בשנת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הם הפיקו הלקח הנדרש ומביעים חרטה על מעשיהם</w:t>
      </w:r>
      <w:r>
        <w:rPr>
          <w:rtl w:val="true"/>
        </w:rPr>
        <w:t xml:space="preserve">. </w:t>
      </w:r>
      <w:r>
        <w:rPr>
          <w:rtl w:val="true"/>
        </w:rPr>
        <w:t>עוד טענו ב</w:t>
      </w:r>
      <w:r>
        <w:rPr>
          <w:rtl w:val="true"/>
        </w:rPr>
        <w:t>"</w:t>
      </w:r>
      <w:r>
        <w:rPr>
          <w:rtl w:val="true"/>
        </w:rPr>
        <w:t>כ הנאשמים כי אילו היו הנאשמים עבריינים</w:t>
      </w:r>
      <w:r>
        <w:rPr>
          <w:rtl w:val="true"/>
        </w:rPr>
        <w:t xml:space="preserve">, </w:t>
      </w:r>
      <w:r>
        <w:rPr>
          <w:rtl w:val="true"/>
        </w:rPr>
        <w:t>כהגדרת התביעה</w:t>
      </w:r>
      <w:r>
        <w:rPr>
          <w:rtl w:val="true"/>
        </w:rPr>
        <w:t xml:space="preserve">, </w:t>
      </w:r>
      <w:r>
        <w:rPr>
          <w:rtl w:val="true"/>
        </w:rPr>
        <w:t>אזי לא היו שוברים את האקדח אלא מחביאים 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ביקשו הסנגורים לשקול לקולא את היות הנאשמים אנשים צעירים</w:t>
      </w:r>
      <w:r>
        <w:rPr>
          <w:rtl w:val="true"/>
        </w:rPr>
        <w:t xml:space="preserve">, </w:t>
      </w:r>
      <w:r>
        <w:rPr>
          <w:rtl w:val="true"/>
        </w:rPr>
        <w:t xml:space="preserve">העובדים ומסייעים לאחרים וכן את הולדת בתו של נאשם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ביקשו גם לשקול לקולא את העובדה שהנאשמים מצויים במעצר מאז חודש אוקטובר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וכי הרכב בו עשו הנאשמים שימוש</w:t>
      </w:r>
      <w:r>
        <w:rPr>
          <w:rtl w:val="true"/>
        </w:rPr>
        <w:t xml:space="preserve">, </w:t>
      </w:r>
      <w:r>
        <w:rPr>
          <w:rtl w:val="true"/>
        </w:rPr>
        <w:t>בעת ביצוע העבירות</w:t>
      </w:r>
      <w:r>
        <w:rPr>
          <w:rtl w:val="true"/>
        </w:rPr>
        <w:t xml:space="preserve">, </w:t>
      </w:r>
      <w:r>
        <w:rPr>
          <w:rtl w:val="true"/>
        </w:rPr>
        <w:t>ניזוק קשות בעקבות הירי של השוטר ובעקבות תפיסתו ע</w:t>
      </w:r>
      <w:r>
        <w:rPr>
          <w:rtl w:val="true"/>
        </w:rPr>
        <w:t>"</w:t>
      </w:r>
      <w:r>
        <w:rPr>
          <w:rtl w:val="true"/>
        </w:rPr>
        <w:t>י 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הסנגורים הפנו לפסיקה התומכת לדעתם בעמדתם</w:t>
      </w:r>
      <w:r>
        <w:rPr>
          <w:rtl w:val="true"/>
        </w:rPr>
        <w:t xml:space="preserve">, </w:t>
      </w:r>
      <w:r>
        <w:rPr>
          <w:rtl w:val="true"/>
        </w:rPr>
        <w:t>לפיה יש לגזור על הנאשמים עונש מתון ולהסתפק לכל היותר בתקופת מעצרם</w:t>
      </w:r>
      <w:r>
        <w:rPr>
          <w:rtl w:val="true"/>
        </w:rPr>
        <w:t xml:space="preserve">, </w:t>
      </w:r>
      <w:r>
        <w:rPr>
          <w:rtl w:val="true"/>
        </w:rPr>
        <w:t>או לגזור עליהם עונש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 האחרון</w:t>
      </w:r>
      <w:r>
        <w:rPr>
          <w:rtl w:val="true"/>
        </w:rPr>
        <w:t xml:space="preserve">", </w:t>
      </w:r>
      <w:r>
        <w:rPr>
          <w:rtl w:val="true"/>
        </w:rPr>
        <w:t xml:space="preserve">הביע חרטה על מעשיו ועל כך שגרר את אחיו –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נאשם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 האחרון</w:t>
      </w:r>
      <w:r>
        <w:rPr>
          <w:rtl w:val="true"/>
        </w:rPr>
        <w:t xml:space="preserve">", </w:t>
      </w:r>
      <w:r>
        <w:rPr>
          <w:rtl w:val="true"/>
        </w:rPr>
        <w:t>הביע צער ובושה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מעשיהם של הנאשמים חמורים ומסוכנים</w:t>
      </w:r>
      <w:r>
        <w:rPr>
          <w:rtl w:val="true"/>
        </w:rPr>
        <w:t xml:space="preserve">. </w:t>
      </w:r>
      <w:r>
        <w:rPr>
          <w:rtl w:val="true"/>
        </w:rPr>
        <w:t>העבירה של הובלת נשק ונשיאתו הנה חמורה</w:t>
      </w:r>
      <w:r>
        <w:rPr>
          <w:rtl w:val="true"/>
        </w:rPr>
        <w:t xml:space="preserve">, </w:t>
      </w:r>
      <w:r>
        <w:rPr>
          <w:rtl w:val="true"/>
        </w:rPr>
        <w:t>בשל פוטנציאל הנזק הגלום בה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כל הנושא נשק</w:t>
      </w:r>
      <w:r>
        <w:rPr>
          <w:rtl w:val="true"/>
        </w:rPr>
        <w:t xml:space="preserve">, </w:t>
      </w:r>
      <w:r>
        <w:rPr>
          <w:rtl w:val="true"/>
        </w:rPr>
        <w:t>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מסכן את הנמצאים בסביבתו ואת החברה כולה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6586/06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אגא אדהם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וכן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 סרור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הנדון</w:t>
      </w:r>
      <w:r>
        <w:rPr>
          <w:rtl w:val="true"/>
        </w:rPr>
        <w:t xml:space="preserve">, </w:t>
      </w:r>
      <w:r>
        <w:rPr>
          <w:rtl w:val="true"/>
        </w:rPr>
        <w:t>בא לידי ביטוי ממשי הסיכון הפוטנציאלי שכאמור גלום בהובלת הנשק</w:t>
      </w:r>
      <w:r>
        <w:rPr>
          <w:rtl w:val="true"/>
        </w:rPr>
        <w:t xml:space="preserve">, </w:t>
      </w:r>
      <w:r>
        <w:rPr>
          <w:rtl w:val="true"/>
        </w:rPr>
        <w:t xml:space="preserve">שכן הנאשמים אף ההינו להשתמש בנשק לשם ירי </w:t>
      </w:r>
      <w:r>
        <w:rPr>
          <w:b/>
          <w:b/>
          <w:bCs/>
          <w:rtl w:val="true"/>
        </w:rPr>
        <w:t>בשטח בנוי – במרכז הכרמל</w:t>
      </w:r>
      <w:r>
        <w:rPr>
          <w:rtl w:val="true"/>
        </w:rPr>
        <w:t xml:space="preserve">. </w:t>
      </w:r>
      <w:r>
        <w:rPr>
          <w:rtl w:val="true"/>
        </w:rPr>
        <w:t>ירי זה</w:t>
      </w:r>
      <w:r>
        <w:rPr>
          <w:rtl w:val="true"/>
        </w:rPr>
        <w:t xml:space="preserve">, </w:t>
      </w:r>
      <w:r>
        <w:rPr>
          <w:rtl w:val="true"/>
        </w:rPr>
        <w:t>גרר אחריו ירי ע</w:t>
      </w:r>
      <w:r>
        <w:rPr>
          <w:rtl w:val="true"/>
        </w:rPr>
        <w:t>"</w:t>
      </w:r>
      <w:r>
        <w:rPr>
          <w:rtl w:val="true"/>
        </w:rPr>
        <w:t>י שוטר ונקל לשער אלו נזקים איומים היו עלולים להיגרם</w:t>
      </w:r>
      <w:r>
        <w:rPr>
          <w:rtl w:val="true"/>
        </w:rPr>
        <w:t xml:space="preserve">, </w:t>
      </w:r>
      <w:r>
        <w:rPr>
          <w:rtl w:val="true"/>
        </w:rPr>
        <w:t>אילו פגעו הקליעים באנשים</w:t>
      </w:r>
      <w:r>
        <w:rPr>
          <w:rtl w:val="true"/>
        </w:rPr>
        <w:t xml:space="preserve">. </w:t>
      </w:r>
      <w:r>
        <w:rPr>
          <w:rtl w:val="true"/>
        </w:rPr>
        <w:t>לא נעלם מעיני כי הירי בוצע באישון לילה כשמטבע הדברים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לא רבים הם עוברי הדרך במקום</w:t>
      </w:r>
      <w:r>
        <w:rPr>
          <w:rtl w:val="true"/>
        </w:rPr>
        <w:t xml:space="preserve">, </w:t>
      </w:r>
      <w:r>
        <w:rPr>
          <w:rtl w:val="true"/>
        </w:rPr>
        <w:t>אך עדיין יש בירי באזור מרכזי בנוי ומאוכלס כדי לסכן אנשים ורכוש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 הוסיף לסכן אנשים ורכוש בדרך נהיגתו הפזיזה והפראית ואף התקדם בנסיעה פראית לעברו של 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 ליתר מעשי הנאשמים יש להתייחס בחומרה</w:t>
      </w:r>
      <w:r>
        <w:rPr>
          <w:rtl w:val="true"/>
        </w:rPr>
        <w:t xml:space="preserve">, </w:t>
      </w:r>
      <w:r>
        <w:rPr>
          <w:rtl w:val="true"/>
        </w:rPr>
        <w:t>שכן מעשיהם החמורים</w:t>
      </w:r>
      <w:r>
        <w:rPr>
          <w:rtl w:val="true"/>
        </w:rPr>
        <w:t xml:space="preserve">, </w:t>
      </w:r>
      <w:r>
        <w:rPr>
          <w:rtl w:val="true"/>
        </w:rPr>
        <w:t>מעידים אף הם על הסיכון הרב הנובע 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אקל ראש גם בהשמדת האקדח שנועדה לחלץ את הנאשמים מאימת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אשקול לחומרא את עברם הפלילי של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לחובתו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בגין עבירות רכוש ואלימות ועבירות תעבורה ולחובתו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בגין עבירות 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אני רואה לנכון לשקול לקולא את הודיית הנאשמים במיוחס להם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את החרטה שהביעו על מעשיהם</w:t>
      </w:r>
      <w:r>
        <w:rPr>
          <w:rtl w:val="true"/>
        </w:rPr>
        <w:t xml:space="preserve">, </w:t>
      </w:r>
      <w:r>
        <w:rPr>
          <w:rtl w:val="true"/>
        </w:rPr>
        <w:t>את מעשיהם הטובים בעזרה לאנשי במצוקה ואת העובדה שהעונש שאטיל עליהם יכלול לראשונה בחייהם</w:t>
      </w:r>
      <w:r>
        <w:rPr>
          <w:rtl w:val="true"/>
        </w:rPr>
        <w:t xml:space="preserve">, </w:t>
      </w:r>
      <w:r>
        <w:rPr>
          <w:rtl w:val="true"/>
        </w:rPr>
        <w:t>עונש מאסר ממשי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אייחס משקל לקולא להולדת בתו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בעת 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לנגד עיניי תעמוד העובדה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שביצע עבירות חמורות נוספות</w:t>
      </w:r>
      <w:r>
        <w:rPr>
          <w:rtl w:val="true"/>
        </w:rPr>
        <w:t xml:space="preserve">, </w:t>
      </w:r>
      <w:r>
        <w:rPr>
          <w:rtl w:val="true"/>
        </w:rPr>
        <w:t>ככל שהדבר קשור לנהיגתו הפרועה ולהפרעה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הוא זה </w:t>
      </w:r>
      <w:r>
        <w:rPr>
          <w:u w:val="single"/>
          <w:rtl w:val="true"/>
        </w:rPr>
        <w:t>שבפועל</w:t>
      </w:r>
      <w:r>
        <w:rPr>
          <w:rtl w:val="true"/>
        </w:rPr>
        <w:t xml:space="preserve"> ירה באקדח כמפורט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בגוזרי את עונש פסילת רישיון הנהיגה על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אתחשב לקולא</w:t>
      </w:r>
      <w:r>
        <w:rPr>
          <w:rtl w:val="true"/>
        </w:rPr>
        <w:t xml:space="preserve">, </w:t>
      </w:r>
      <w:r>
        <w:rPr>
          <w:rtl w:val="true"/>
        </w:rPr>
        <w:t>באשר למשך תקופת הפסילה</w:t>
      </w:r>
      <w:r>
        <w:rPr>
          <w:rtl w:val="true"/>
        </w:rPr>
        <w:t xml:space="preserve">, </w:t>
      </w:r>
      <w:r>
        <w:rPr>
          <w:rtl w:val="true"/>
        </w:rPr>
        <w:t xml:space="preserve">בכך שלכאורה חורג עונש זה </w:t>
      </w:r>
      <w:r>
        <w:rPr>
          <w:rtl w:val="true"/>
        </w:rPr>
        <w:t>(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) </w:t>
      </w:r>
      <w:r>
        <w:rPr>
          <w:rtl w:val="true"/>
        </w:rPr>
        <w:t xml:space="preserve">מהסדר הטיעון שהושג בין הצדדים ובכך שהנאשם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עצמו הביע</w:t>
      </w:r>
      <w:r>
        <w:rPr>
          <w:rtl w:val="true"/>
        </w:rPr>
        <w:t xml:space="preserve">, </w:t>
      </w:r>
      <w:r>
        <w:rPr>
          <w:rtl w:val="true"/>
        </w:rPr>
        <w:t>במענה לשאלתי</w:t>
      </w:r>
      <w:r>
        <w:rPr>
          <w:rtl w:val="true"/>
        </w:rPr>
        <w:t xml:space="preserve">, </w:t>
      </w:r>
      <w:r>
        <w:rPr>
          <w:rtl w:val="true"/>
        </w:rPr>
        <w:t>הסכמתו</w:t>
      </w:r>
      <w:r>
        <w:rPr>
          <w:rtl w:val="true"/>
        </w:rPr>
        <w:t xml:space="preserve">, </w:t>
      </w:r>
      <w:r>
        <w:rPr>
          <w:rtl w:val="true"/>
        </w:rPr>
        <w:t>במהלך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להשתת עונש פסילה </w:t>
      </w:r>
      <w:r>
        <w:rPr>
          <w:rtl w:val="true"/>
        </w:rPr>
        <w:t>"</w:t>
      </w:r>
      <w:r>
        <w:rPr>
          <w:rtl w:val="true"/>
        </w:rPr>
        <w:t>לתקופת מה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בכל הנסיבות</w:t>
      </w:r>
      <w:r>
        <w:rPr>
          <w:rtl w:val="true"/>
        </w:rPr>
        <w:t xml:space="preserve">, </w:t>
      </w:r>
      <w:r>
        <w:rPr>
          <w:rtl w:val="true"/>
        </w:rPr>
        <w:t>לקולא ולחומרא</w:t>
      </w:r>
      <w:r>
        <w:rPr>
          <w:rtl w:val="true"/>
        </w:rPr>
        <w:t xml:space="preserve">, </w:t>
      </w:r>
      <w:r>
        <w:rPr>
          <w:rtl w:val="true"/>
        </w:rPr>
        <w:t>אני גוזר על הנאשמים עונשים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על נאשם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עבירה בגינה הורשע או כל עבירת אלימות שהיא פשע</w:t>
      </w:r>
      <w:r>
        <w:rPr>
          <w:rtl w:val="true"/>
        </w:rPr>
        <w:t xml:space="preserve">. </w:t>
      </w:r>
      <w:r>
        <w:rPr>
          <w:rtl w:val="true"/>
        </w:rPr>
        <w:t xml:space="preserve">כמו כן אני מטיל עליו קנס בסך של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1/5/09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אני פוסל אותו מלקבל או מלהחזיק רישיון נהיגה לשנתיים</w:t>
      </w:r>
      <w:r>
        <w:rPr>
          <w:rtl w:val="true"/>
        </w:rPr>
        <w:t xml:space="preserve">, </w:t>
      </w:r>
      <w:r>
        <w:rPr>
          <w:rtl w:val="true"/>
        </w:rPr>
        <w:t>החל מיום שחרורו 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אני גוזר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מתוכן שנתיים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עבירה בגינה הורשע או כל עבירת אלימות שהיא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אני מטיל עליו 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1/5/09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היה ומי מהנאשמים לא ישלם הקנס</w:t>
      </w:r>
      <w:r>
        <w:rPr>
          <w:rtl w:val="true"/>
        </w:rPr>
        <w:t xml:space="preserve">, </w:t>
      </w:r>
      <w:r>
        <w:rPr>
          <w:rtl w:val="true"/>
        </w:rPr>
        <w:t xml:space="preserve">יאסר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שיצטברו לתקופת 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מתקופת מאסרם תנוכה תקופת מעצרם החל מ</w:t>
      </w:r>
      <w:r>
        <w:rPr>
          <w:b/>
          <w:bCs/>
          <w:rtl w:val="true"/>
        </w:rPr>
        <w:t>-</w:t>
      </w:r>
      <w:r>
        <w:rPr>
          <w:b/>
          <w:bCs/>
        </w:rPr>
        <w:t>24/10/08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 ערעור 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ש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02/04/2009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רכב הג</w:t>
      </w:r>
      <w:r>
        <w:rPr>
          <w:rtl w:val="true"/>
        </w:rPr>
        <w:t>'</w:t>
      </w:r>
      <w:r>
        <w:rPr>
          <w:rtl w:val="true"/>
        </w:rPr>
        <w:t>יפ 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.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 xml:space="preserve">רישוי </w:t>
      </w:r>
      <w:r>
        <w:rPr/>
        <w:t>5596516</w:t>
      </w:r>
      <w:r>
        <w:rPr>
          <w:rtl w:val="true"/>
        </w:rPr>
        <w:t xml:space="preserve"> </w:t>
      </w:r>
      <w:r>
        <w:rPr>
          <w:rtl w:val="true"/>
        </w:rPr>
        <w:t>יוחזר לבעלים הרשום שלו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רים באש</w:t>
      </w:r>
      <w:r>
        <w:rPr>
          <w:rtl w:val="true"/>
        </w:rPr>
        <w:t xml:space="preserve">, </w:t>
      </w:r>
      <w:r>
        <w:rPr>
          <w:rtl w:val="true"/>
        </w:rPr>
        <w:t>או מי מטעמה אם יציג יפוי כוח מטעמה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02/04/2009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דנינו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/Users/liorb/Downloads/study2025-p2/ME-08-11-5497-A-A-A.doc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5497-11-08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ענאן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נאנו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 xml:space="preserve">באש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497-11-08"/>
    <w:docVar w:name="caseId" w:val="12077833"/>
    <w:docVar w:name="deriveClass" w:val="NGCS.Protocol.BL.Client.ProtocolBLClientCriminal"/>
    <w:docVar w:name="firstPageNumber" w:val="20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295855"/>
    <w:docVar w:name="releaseSign" w:val="0"/>
    <w:docVar w:name="sittingDateTime" w:val="02/04/2009 14:45     "/>
    <w:docVar w:name="sittingId" w:val="1245811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96311" TargetMode="External"/><Relationship Id="rId3" Type="http://schemas.openxmlformats.org/officeDocument/2006/relationships/hyperlink" Target="http://www.nevo.co.il/case/5096311" TargetMode="External"/><Relationship Id="rId4" Type="http://schemas.openxmlformats.org/officeDocument/2006/relationships/hyperlink" Target="http://www.nevo.co.il/case/5096311" TargetMode="External"/><Relationship Id="rId5" Type="http://schemas.openxmlformats.org/officeDocument/2006/relationships/hyperlink" Target="http://www.nevo.co.il/case/590829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144.a.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42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338.a.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.;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4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38.a.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case/6078308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2016-08-15T16:24:00Z</dcterms:created>
  <dc:creator> </dc:creator>
  <dc:description/>
  <cp:keywords/>
  <dc:language>en-IL</dc:language>
  <cp:lastModifiedBy>run</cp:lastModifiedBy>
  <cp:lastPrinted>2009-04-02T15:59:00Z</cp:lastPrinted>
  <dcterms:modified xsi:type="dcterms:W3CDTF">2016-08-15T16:24:00Z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ענאן (נאנו) באש ;עלה באש </vt:lpwstr>
  </property>
  <property fmtid="{D5CDD505-2E9C-101B-9397-08002B2CF9AE}" pid="4" name="CASESLISTTMP1">
    <vt:lpwstr>5096311:3;5908292;6078308</vt:lpwstr>
  </property>
  <property fmtid="{D5CDD505-2E9C-101B-9397-08002B2CF9AE}" pid="5" name="CITY">
    <vt:lpwstr>חי'</vt:lpwstr>
  </property>
  <property fmtid="{D5CDD505-2E9C-101B-9397-08002B2CF9AE}" pid="6" name="DATE">
    <vt:lpwstr>20090402</vt:lpwstr>
  </property>
  <property fmtid="{D5CDD505-2E9C-101B-9397-08002B2CF9AE}" pid="7" name="DELEMATA">
    <vt:lpwstr>http://elyon2.court.gov.il/scripts9/mgrqispi93.dll?Appname=eScourt&amp;Prgname=GetFileDetails&amp;Arguments=-N2009-003655-0</vt:lpwstr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70301/413e;144.a;144.b;029:4;340a;242;192;338.a.1;275</vt:lpwstr>
  </property>
  <property fmtid="{D5CDD505-2E9C-101B-9397-08002B2CF9AE}" pid="11" name="LAWYER">
    <vt:lpwstr>טל עופר;שלומוביץ ;אולמן</vt:lpwstr>
  </property>
  <property fmtid="{D5CDD505-2E9C-101B-9397-08002B2CF9AE}" pid="12" name="LINKK1">
    <vt:lpwstr>http://www.nevo.co.il/Psika_word/mechozi/ME-08-11-5497.doc;להחלטה במחוזי (11-02-2009)#תפ 5497-11-08 מדינת ישראל נ' ענאן(נאנו) באש #שופטים: דיאנה סלע#עו''ד: עילית אפשטיין, תמי אולמן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http://www.nevo.co.il/Psika_word/mechozi/ME-08-11-5497-A.doc;להחלטה במחוזי (16-02-2009)#תפ 5497-11-08 מדינת ישראל נ' ינאן(נאנו) באש #שופטים: אילן שיף</vt:lpwstr>
  </property>
  <property fmtid="{D5CDD505-2E9C-101B-9397-08002B2CF9AE}" pid="17" name="LINKK3">
    <vt:lpwstr>http://www.nevo.co.il/Psika_word/mechozi/ME-08-11-5497-A-A.doc;להכרעת-דין במחוזי (22-02-2009)#תפ 5497-11-08 מדינת ישראל נ' ינאן(נאנו) באש #שופטים: אילן שיף#עו''ד: ספיר, תמי אולמן, חמודי מסרי, יוסי זילברברג</vt:lpwstr>
  </property>
  <property fmtid="{D5CDD505-2E9C-101B-9397-08002B2CF9AE}" pid="18" name="LINKK4">
    <vt:lpwstr>http://www.nevo.co.il/Psika_word/elyon/09036550-o01.doc;לפסק-דין בעליון (15-10-2009)#עפ 3655/09 ענאן באש נ' מדינת ישראל#שופטים: א' א' לוי, א' רובינשטיין, ח' מלצר#עו''ד: ר' זוארץ לוי, ת'  אולמן</vt:lpwstr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5497</vt:lpwstr>
  </property>
  <property fmtid="{D5CDD505-2E9C-101B-9397-08002B2CF9AE}" pid="25" name="NEWPARTB">
    <vt:lpwstr>11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390020090402</vt:lpwstr>
  </property>
  <property fmtid="{D5CDD505-2E9C-101B-9397-08002B2CF9AE}" pid="37" name="TYPE_N_DATE">
    <vt:lpwstr>39020090402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