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2"/>
        <w:gridCol w:w="4129"/>
        <w:gridCol w:w="3665"/>
        <w:gridCol w:w="104"/>
      </w:tblGrid>
      <w:tr>
        <w:trPr>
          <w:trHeight w:val="418" w:hRule="exact"/>
        </w:trPr>
        <w:tc>
          <w:tcPr>
            <w:tcW w:w="8716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  <w:tc>
          <w:tcPr>
            <w:tcW w:w="10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55444-10-21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10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שופטת הבכירה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,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טל אוסטפלד נאוי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76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יצחק ברדה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firstLine="360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בביצוע עבירות של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שימוש בסמים שלא לצריכה עצמית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rtl w:val="true"/>
          </w:rPr>
          <w:t xml:space="preserve">סעיפים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)+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פקודת הסמים המסוכנים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 xml:space="preserve">ורכישת </w:t>
      </w:r>
      <w:r>
        <w:rPr>
          <w:b/>
          <w:bCs/>
          <w:rtl w:val="true"/>
        </w:rPr>
        <w:t xml:space="preserve">/ </w:t>
      </w:r>
      <w:r>
        <w:rPr>
          <w:b/>
          <w:b/>
          <w:bCs/>
          <w:rtl w:val="true"/>
        </w:rPr>
        <w:t xml:space="preserve">החזקת חלק של נשק או תחמושת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rtl w:val="true"/>
          </w:rPr>
          <w:t xml:space="preserve">סעיף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1.6.21</w:t>
      </w:r>
      <w:r>
        <w:rPr>
          <w:rtl w:val="true"/>
        </w:rPr>
        <w:t xml:space="preserve"> </w:t>
      </w:r>
      <w:r>
        <w:rPr>
          <w:rtl w:val="true"/>
        </w:rPr>
        <w:t>בעת שהנאשם שהה בביתו</w:t>
      </w:r>
      <w:r>
        <w:rPr>
          <w:rtl w:val="true"/>
        </w:rPr>
        <w:t xml:space="preserve">, </w:t>
      </w:r>
      <w:r>
        <w:rPr>
          <w:rtl w:val="true"/>
        </w:rPr>
        <w:t>הגיעו שוטרים במסגרת צו חיפוש</w:t>
      </w:r>
      <w:r>
        <w:rPr>
          <w:rtl w:val="true"/>
        </w:rPr>
        <w:t xml:space="preserve">. </w:t>
      </w:r>
      <w:r>
        <w:rPr>
          <w:rtl w:val="true"/>
        </w:rPr>
        <w:t>במהלך החיפוש</w:t>
      </w:r>
      <w:r>
        <w:rPr>
          <w:rtl w:val="true"/>
        </w:rPr>
        <w:t xml:space="preserve">, </w:t>
      </w:r>
      <w:r>
        <w:rPr>
          <w:rtl w:val="true"/>
        </w:rPr>
        <w:t xml:space="preserve">נמצא בחדר השינה בבית סם מסוכן מסוג קנבוס במשקל כולל של </w:t>
      </w:r>
      <w:r>
        <w:rPr/>
        <w:t>281.04</w:t>
      </w:r>
      <w:r>
        <w:rPr>
          <w:rtl w:val="true"/>
        </w:rPr>
        <w:t xml:space="preserve"> </w:t>
      </w:r>
      <w:r>
        <w:rPr>
          <w:rtl w:val="true"/>
        </w:rPr>
        <w:t>גרם ועל גג הבית בתוך אדנית</w:t>
      </w:r>
      <w:r>
        <w:rPr>
          <w:rtl w:val="true"/>
        </w:rPr>
        <w:t xml:space="preserve">- </w:t>
      </w:r>
      <w:r>
        <w:rPr>
          <w:rtl w:val="true"/>
        </w:rPr>
        <w:t xml:space="preserve">שתיל של סם מסוכן מסוג קנבוס במשקל כולל של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בפלילים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 xml:space="preserve">לחובת הנאשם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הרשעות בגין ביצוע עבירות של סמים</w:t>
      </w:r>
      <w:r>
        <w:rPr>
          <w:rtl w:val="true"/>
        </w:rPr>
        <w:t xml:space="preserve">, </w:t>
      </w:r>
      <w:r>
        <w:rPr>
          <w:rtl w:val="true"/>
        </w:rPr>
        <w:t>רכוש ונהיגה</w:t>
      </w:r>
      <w:r>
        <w:rPr>
          <w:rtl w:val="true"/>
        </w:rPr>
        <w:t xml:space="preserve">. </w:t>
      </w:r>
      <w:r>
        <w:rPr>
          <w:rtl w:val="true"/>
        </w:rPr>
        <w:t xml:space="preserve">כנגד הנאשם עומד עונש מאסר מותנה לתקופה של שלושה חודשים והתחייבות  בסך </w:t>
      </w:r>
      <w:r>
        <w:rPr/>
        <w:t>2,500</w:t>
      </w:r>
      <w:r>
        <w:rPr>
          <w:rtl w:val="true"/>
        </w:rPr>
        <w:t xml:space="preserve"> ₪,  </w:t>
      </w:r>
      <w:r>
        <w:rPr>
          <w:rtl w:val="true"/>
        </w:rPr>
        <w:t xml:space="preserve">כפי שנגזר עליו ביום </w:t>
      </w:r>
      <w:r>
        <w:rPr/>
        <w:t>2.10.18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28163-02-18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הסכמות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הצדדים הסכימו כי שירות המבחן יערוך תסקיר בעניינו של הנאשם</w:t>
      </w:r>
      <w:r>
        <w:rPr>
          <w:rtl w:val="true"/>
        </w:rPr>
        <w:t xml:space="preserve">. </w:t>
      </w:r>
      <w:r>
        <w:rPr>
          <w:rtl w:val="true"/>
        </w:rPr>
        <w:t>לא גובשו הסכמות עונשיות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 xml:space="preserve">בחוות הדעת מיום </w:t>
      </w:r>
      <w:r>
        <w:rPr/>
        <w:t>3.3.24</w:t>
      </w:r>
      <w:r>
        <w:rPr>
          <w:rtl w:val="true"/>
        </w:rPr>
        <w:t xml:space="preserve"> </w:t>
      </w:r>
      <w:r>
        <w:rPr>
          <w:rtl w:val="true"/>
        </w:rPr>
        <w:t>נמצא הנאשם כשיר לבצע עבודות שירות</w:t>
      </w:r>
      <w:r>
        <w:rPr>
          <w:rtl w:val="true"/>
        </w:rPr>
        <w:t xml:space="preserve">, </w:t>
      </w:r>
      <w:r>
        <w:rPr>
          <w:rtl w:val="true"/>
        </w:rPr>
        <w:t>במגבלות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 xml:space="preserve">בתסקיר הראשון מיום </w:t>
      </w:r>
      <w:r>
        <w:rPr/>
        <w:t>13.2.23</w:t>
      </w:r>
      <w:r>
        <w:rPr>
          <w:rtl w:val="true"/>
        </w:rPr>
        <w:t xml:space="preserve"> </w:t>
      </w:r>
      <w:r>
        <w:rPr>
          <w:rtl w:val="true"/>
        </w:rPr>
        <w:t>סקר שירות המבחן את תולדות חייו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צוין כי מדובר במי שהוא כבן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ילדים בגילים </w:t>
      </w:r>
      <w:r>
        <w:rPr/>
        <w:t>8-21</w:t>
      </w:r>
      <w:r>
        <w:rPr>
          <w:rtl w:val="true"/>
        </w:rPr>
        <w:t xml:space="preserve">, </w:t>
      </w:r>
      <w:r>
        <w:rPr>
          <w:rtl w:val="true"/>
        </w:rPr>
        <w:t>ומתגורר עם בני משפחתו בראשון לציון</w:t>
      </w:r>
      <w:r>
        <w:rPr>
          <w:rtl w:val="true"/>
        </w:rPr>
        <w:t xml:space="preserve">. </w:t>
      </w:r>
      <w:r>
        <w:rPr>
          <w:rtl w:val="true"/>
        </w:rPr>
        <w:t>הנאשם עובד במחלקת התברואה בעיריית 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 xml:space="preserve">מוכר על ידי המוסד לביטוח לאומי כבעל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 xml:space="preserve">נכות זמנית על רקע חבלה ביד בעקבות תאונת עבודה במהלך 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 xml:space="preserve">משנת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מוכר כבעל נכות נפשית בשיעור של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לצמיתות ומאובחן כסובל מתגובה דיכאונית ממושכת</w:t>
      </w:r>
      <w:r>
        <w:rPr>
          <w:rtl w:val="true"/>
        </w:rPr>
        <w:t xml:space="preserve">. </w:t>
      </w:r>
    </w:p>
    <w:p>
      <w:pPr>
        <w:pStyle w:val="ListParagraph"/>
        <w:bidi w:val="1"/>
        <w:ind w:end="0"/>
        <w:jc w:val="both"/>
        <w:rPr/>
      </w:pPr>
      <w:r>
        <w:rPr>
          <w:rtl w:val="true"/>
        </w:rPr>
      </w:r>
    </w:p>
    <w:p>
      <w:pPr>
        <w:pStyle w:val="ListParagraph"/>
        <w:bidi w:val="1"/>
        <w:ind w:end="0"/>
        <w:jc w:val="both"/>
        <w:rPr/>
      </w:pPr>
      <w:r>
        <w:rPr>
          <w:rtl w:val="true"/>
        </w:rPr>
        <w:t>הנאשם שיתף כי סבל בילדותו מחוסר יציבות נוכח היעדר מקום מגורים קבוע</w:t>
      </w:r>
      <w:r>
        <w:rPr>
          <w:rtl w:val="true"/>
        </w:rPr>
        <w:t xml:space="preserve">, </w:t>
      </w:r>
      <w:r>
        <w:rPr>
          <w:rtl w:val="true"/>
        </w:rPr>
        <w:t>כאשר מגיל צעיר חבר לחברה שולית והחל במעורבותו הפלילית</w:t>
      </w:r>
      <w:r>
        <w:rPr>
          <w:rtl w:val="true"/>
        </w:rPr>
        <w:t xml:space="preserve">. </w:t>
      </w:r>
      <w:r>
        <w:rPr>
          <w:rtl w:val="true"/>
        </w:rPr>
        <w:t>לאורך שנות התבגרותו הועבר בין מוסדות שונים</w:t>
      </w:r>
      <w:r>
        <w:rPr>
          <w:rtl w:val="true"/>
        </w:rPr>
        <w:t xml:space="preserve">, </w:t>
      </w:r>
      <w:r>
        <w:rPr>
          <w:rtl w:val="true"/>
        </w:rPr>
        <w:t>וגם שם המשיך את מעורבותו הפלילית</w:t>
      </w:r>
      <w:r>
        <w:rPr>
          <w:rtl w:val="true"/>
        </w:rPr>
        <w:t xml:space="preserve">. </w:t>
      </w:r>
    </w:p>
    <w:p>
      <w:pPr>
        <w:pStyle w:val="ListParagraph"/>
        <w:rPr/>
      </w:pPr>
      <w:r>
        <w:rPr/>
      </w:r>
    </w:p>
    <w:p>
      <w:pPr>
        <w:pStyle w:val="ListParagraph"/>
        <w:bidi w:val="1"/>
        <w:ind w:end="0"/>
        <w:jc w:val="both"/>
        <w:rPr/>
      </w:pPr>
      <w:r>
        <w:rPr>
          <w:rtl w:val="true"/>
        </w:rPr>
        <w:t xml:space="preserve">בגיל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החל לצרוך סמים מסוג קנבוס וקוקאין</w:t>
      </w:r>
      <w:r>
        <w:rPr>
          <w:rtl w:val="true"/>
        </w:rPr>
        <w:t xml:space="preserve">, </w:t>
      </w:r>
      <w:r>
        <w:rPr>
          <w:rtl w:val="true"/>
        </w:rPr>
        <w:t>ניהל אורח חיים שולי והתמכרותי לסמים ואף ריצה מספר עונשי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במשמורתו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בגידולו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מווסת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b/>
          <w:b/>
          <w:bCs/>
          <w:rtl w:val="true"/>
        </w:rPr>
        <w:t>בתסקיר השני</w:t>
      </w:r>
      <w:r>
        <w:rPr>
          <w:rtl w:val="true"/>
        </w:rPr>
        <w:t xml:space="preserve"> מיום </w:t>
      </w:r>
      <w:r>
        <w:rPr/>
        <w:t>7.8.23</w:t>
      </w:r>
      <w:r>
        <w:rPr>
          <w:rtl w:val="true"/>
        </w:rPr>
        <w:t xml:space="preserve"> </w:t>
      </w:r>
      <w:r>
        <w:rPr>
          <w:rtl w:val="true"/>
        </w:rPr>
        <w:t>עדכן שירות המבחן כי הנאשם שולב בטיפול נפשי</w:t>
      </w:r>
      <w:r>
        <w:rPr>
          <w:rtl w:val="true"/>
        </w:rPr>
        <w:t xml:space="preserve">, </w:t>
      </w:r>
      <w:r>
        <w:rPr>
          <w:rtl w:val="true"/>
        </w:rPr>
        <w:t>מטופל תרופתית</w:t>
      </w:r>
      <w:r>
        <w:rPr>
          <w:rtl w:val="true"/>
        </w:rPr>
        <w:t xml:space="preserve">, </w:t>
      </w:r>
      <w:r>
        <w:rPr>
          <w:rtl w:val="true"/>
        </w:rPr>
        <w:t>וממשיך בקשר עם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b/>
          <w:b/>
          <w:bCs/>
          <w:rtl w:val="true"/>
        </w:rPr>
        <w:t>מהתסקיר השלישי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26.12.23</w:t>
      </w:r>
      <w:r>
        <w:rPr>
          <w:rtl w:val="true"/>
        </w:rPr>
        <w:t xml:space="preserve"> </w:t>
      </w:r>
      <w:r>
        <w:rPr>
          <w:rtl w:val="true"/>
        </w:rPr>
        <w:t>עלה כי הנאשם ממוקד בשמירה על תפקודו התעסוקתי במחלקת התברואה בעירייה</w:t>
      </w:r>
      <w:r>
        <w:rPr>
          <w:rtl w:val="true"/>
        </w:rPr>
        <w:t xml:space="preserve">, </w:t>
      </w:r>
      <w:r>
        <w:rPr>
          <w:rtl w:val="true"/>
        </w:rPr>
        <w:t>וביציבות התא המשפחתי</w:t>
      </w:r>
      <w:r>
        <w:rPr>
          <w:rtl w:val="true"/>
        </w:rPr>
        <w:t xml:space="preserve">, </w:t>
      </w:r>
      <w:r>
        <w:rPr>
          <w:rtl w:val="true"/>
        </w:rPr>
        <w:t>שלל בעייתיות בהתנהלותו ונטה לייחס תגובותיו לקשיים רגשיים ונפשיים</w:t>
      </w:r>
      <w:r>
        <w:rPr>
          <w:rtl w:val="true"/>
        </w:rPr>
        <w:t xml:space="preserve">. </w:t>
      </w:r>
      <w:r>
        <w:rPr>
          <w:rtl w:val="true"/>
        </w:rPr>
        <w:t>הנאשם מסר בדיקת שתן נוספת במסגרתה נמצאו שרידי קנבוס ותרופות התואמות לטיפולים שאושרו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במסגרת טיעוניה לעונש</w:t>
      </w:r>
      <w:r>
        <w:rPr>
          <w:rtl w:val="true"/>
        </w:rPr>
        <w:t xml:space="preserve">, </w:t>
      </w:r>
      <w:r>
        <w:rPr>
          <w:rtl w:val="true"/>
        </w:rPr>
        <w:t>הגישה ההגנה את המסמכים הבאים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- </w:t>
      </w:r>
      <w:r>
        <w:rPr>
          <w:rtl w:val="true"/>
        </w:rPr>
        <w:t>רישיון להחזקה ושימוש בסם קנבוס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- </w:t>
      </w:r>
      <w:r>
        <w:rPr>
          <w:rtl w:val="true"/>
        </w:rPr>
        <w:t>אישור מטעם הביטוח הלאומי</w:t>
      </w:r>
      <w:r>
        <w:rPr>
          <w:rtl w:val="true"/>
        </w:rPr>
        <w:t xml:space="preserve">, </w:t>
      </w:r>
      <w:r>
        <w:rPr>
          <w:rtl w:val="true"/>
        </w:rPr>
        <w:t>בו הוכרה פגיעתו של הנאשם כתאונת עבודה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-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רפואי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19.12.21</w:t>
      </w:r>
      <w:r>
        <w:rPr>
          <w:rtl w:val="true"/>
        </w:rPr>
        <w:t xml:space="preserve"> </w:t>
      </w:r>
      <w:r>
        <w:rPr>
          <w:rtl w:val="true"/>
        </w:rPr>
        <w:t>שהוגש על ידי פרופ</w:t>
      </w:r>
      <w:r>
        <w:rPr>
          <w:rtl w:val="true"/>
        </w:rPr>
        <w:t xml:space="preserve">' </w:t>
      </w:r>
      <w:r>
        <w:rPr>
          <w:rtl w:val="true"/>
        </w:rPr>
        <w:t>יצחיאק</w:t>
      </w:r>
      <w:r>
        <w:rPr>
          <w:rtl w:val="true"/>
        </w:rPr>
        <w:t xml:space="preserve">, </w:t>
      </w:r>
      <w:r>
        <w:rPr>
          <w:rtl w:val="true"/>
        </w:rPr>
        <w:t>ממנו עלה כי הנאשם סובל מגבלה ניכרת בתנועות עמוד השדרה הצווארי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- </w:t>
      </w:r>
      <w:r>
        <w:rPr>
          <w:rtl w:val="true"/>
        </w:rPr>
        <w:t>סיכום רפואי בעניינו של הנאשם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- </w:t>
      </w:r>
      <w:r>
        <w:rPr>
          <w:rtl w:val="true"/>
        </w:rPr>
        <w:t>זימון למרכז לבריאות הנפש</w:t>
      </w:r>
      <w:r>
        <w:rPr>
          <w:rtl w:val="true"/>
        </w:rPr>
        <w:t xml:space="preserve">; </w:t>
      </w:r>
      <w:r>
        <w:rPr>
          <w:rtl w:val="true"/>
        </w:rPr>
        <w:t>לאחר שמיעת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הוגש אישור רפואי מד</w:t>
      </w:r>
      <w:r>
        <w:rPr>
          <w:rtl w:val="true"/>
        </w:rPr>
        <w:t>"</w:t>
      </w:r>
      <w:r>
        <w:rPr>
          <w:rtl w:val="true"/>
        </w:rPr>
        <w:t>ר ליאוניד גורודצקי</w:t>
      </w:r>
      <w:r>
        <w:rPr>
          <w:rtl w:val="true"/>
        </w:rPr>
        <w:t xml:space="preserve">- </w:t>
      </w:r>
      <w:r>
        <w:rPr>
          <w:rtl w:val="true"/>
        </w:rPr>
        <w:t>מטפל בתחום הנפש</w:t>
      </w:r>
      <w:r>
        <w:rPr>
          <w:rtl w:val="true"/>
        </w:rPr>
        <w:t xml:space="preserve">, </w:t>
      </w:r>
      <w:r>
        <w:rPr>
          <w:rtl w:val="true"/>
        </w:rPr>
        <w:t>ממנו עולה כי לנאשם סימני הפרעת דיכאון עם מרכיב חרדתי בולט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בטיעוניה עמדה המאשימה על הערכים המוגנים שנפגעו בעקבות השימוש בסמים ועל פוטנציאלי הנזק שבהחזקת הנשק עד להרג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מהכמות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ההגנה טענה כי מדובר בעבירות שבוצעו לפני כארבע שנים</w:t>
      </w:r>
      <w:r>
        <w:rPr>
          <w:rtl w:val="true"/>
        </w:rPr>
        <w:t xml:space="preserve">, </w:t>
      </w:r>
      <w:r>
        <w:rPr>
          <w:rtl w:val="true"/>
        </w:rPr>
        <w:t>הנאשם לא גידל את הסמים</w:t>
      </w:r>
      <w:r>
        <w:rPr>
          <w:rtl w:val="true"/>
        </w:rPr>
        <w:t xml:space="preserve">, </w:t>
      </w:r>
      <w:r>
        <w:rPr>
          <w:rtl w:val="true"/>
        </w:rPr>
        <w:t>מאז לא היה מעורב בפלילים</w:t>
      </w:r>
      <w:r>
        <w:rPr>
          <w:rtl w:val="true"/>
        </w:rPr>
        <w:t xml:space="preserve">, </w:t>
      </w:r>
      <w:r>
        <w:rPr>
          <w:rtl w:val="true"/>
        </w:rPr>
        <w:t>ועל כן עתרה לאמץ המלצת שירות המבחן ולהאריך את עונש המאסר המותנה העומד כנגד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, </w:t>
      </w:r>
      <w:r>
        <w:rPr>
          <w:rtl w:val="true"/>
        </w:rPr>
        <w:t>ובשיעור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37%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הנאשם בדבריו לעונש עמד על מורכבות ילדותו</w:t>
      </w:r>
      <w:r>
        <w:rPr>
          <w:rtl w:val="true"/>
        </w:rPr>
        <w:t xml:space="preserve">, </w:t>
      </w:r>
      <w:r>
        <w:rPr>
          <w:rtl w:val="true"/>
        </w:rPr>
        <w:t xml:space="preserve">הסביר כי החל תהליך התבגרותו רק בגיל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והבהיר כי הוא פועל לחינוך ילדיו</w:t>
      </w:r>
      <w:r>
        <w:rPr>
          <w:rtl w:val="true"/>
        </w:rPr>
        <w:t xml:space="preserve">, </w:t>
      </w:r>
      <w:r>
        <w:rPr>
          <w:rtl w:val="true"/>
        </w:rPr>
        <w:t>דואג להרחיקם מעולם העבריינות וביקש לאפשר לו להמשיך לעבוד ולשקם את 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>
          <w:b/>
          <w:bCs/>
        </w:rPr>
      </w:pPr>
      <w:r>
        <w:rPr>
          <w:rtl w:val="true"/>
        </w:rPr>
        <w:t>הערכים המוגנים שנפגעו כתוצאה מביצוע עבירת צריכת הסמים</w:t>
      </w:r>
      <w:r>
        <w:rPr>
          <w:rtl w:val="true"/>
        </w:rPr>
        <w:t xml:space="preserve">, </w:t>
      </w:r>
      <w:r>
        <w:rPr>
          <w:rtl w:val="true"/>
        </w:rPr>
        <w:t>עניינם בהגנה על שלום הציבור ובריאותו</w:t>
      </w:r>
      <w:r>
        <w:rPr>
          <w:rtl w:val="true"/>
        </w:rPr>
        <w:t xml:space="preserve">, </w:t>
      </w:r>
      <w:r>
        <w:rPr>
          <w:rtl w:val="true"/>
        </w:rPr>
        <w:t>מפני הנזקים החברתיים הישירים והעקיפים הנגרמים בעקבות השימוש בסמים</w:t>
      </w:r>
      <w:r>
        <w:rPr>
          <w:rtl w:val="true"/>
        </w:rPr>
        <w:t xml:space="preserve">, </w:t>
      </w:r>
      <w:r>
        <w:rPr>
          <w:rtl w:val="true"/>
        </w:rPr>
        <w:t>כמו גם שמירה על שלומם ובריאותם של צרכני הסמים</w:t>
      </w:r>
      <w:r>
        <w:rPr>
          <w:rtl w:val="true"/>
        </w:rPr>
        <w:t xml:space="preserve">. </w:t>
      </w:r>
    </w:p>
    <w:p>
      <w:pPr>
        <w:pStyle w:val="ListParagraph"/>
        <w:bidi w:val="1"/>
        <w:ind w:end="0"/>
        <w:jc w:val="both"/>
        <w:rPr>
          <w:rFonts w:ascii="David" w:hAnsi="David" w:cs="David"/>
          <w:b/>
          <w:bCs/>
          <w:color w:val="000000"/>
          <w:sz w:val="24"/>
        </w:rPr>
      </w:pPr>
      <w:r>
        <w:rPr>
          <w:rFonts w:cs="David" w:ascii="David" w:hAnsi="David"/>
          <w:b/>
          <w:bCs/>
          <w:color w:val="000000"/>
          <w:sz w:val="24"/>
          <w:rtl w:val="true"/>
        </w:rPr>
      </w:r>
    </w:p>
    <w:p>
      <w:pPr>
        <w:pStyle w:val="ListParagraph"/>
        <w:bidi w:val="1"/>
        <w:ind w:end="0"/>
        <w:jc w:val="both"/>
        <w:rPr/>
      </w:pPr>
      <w:r>
        <w:rPr>
          <w:rFonts w:ascii="David" w:hAnsi="David" w:cs="David"/>
          <w:color w:val="000000"/>
          <w:sz w:val="24"/>
          <w:sz w:val="24"/>
          <w:rtl w:val="true"/>
        </w:rPr>
        <w:t xml:space="preserve">בית משפט העליון עמד פעמים רבות על החומרה הגלומה בעבירות סמים וציין כי </w:t>
      </w:r>
      <w:r>
        <w:rPr>
          <w:rFonts w:cs="David" w:ascii="David" w:hAnsi="David"/>
          <w:b/>
          <w:bCs/>
          <w:color w:val="000000"/>
          <w:sz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יסודה בפגיעה הישירה בצרכני הסמים ובסכנה העקיפה הנגרמת לציבור בכללותו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....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כפי שמוגדר בפקודה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סם הקנבוס הוא סם מסוכן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והוראת המחוקק לעניין זה היא הדין הנוהג והמחייב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כל עוד לא נקבע אחרת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התפיסה לפיה קנבוס הוא בגדר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סם קל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ודינו שונה מדינם של סמים אחרים נעדרת אחיזה בדין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ואין בה כדי לבטל את החזקה הקבועה בפקודה</w:t>
      </w:r>
      <w:r>
        <w:rPr>
          <w:rFonts w:cs="David" w:ascii="David" w:hAnsi="David"/>
          <w:b/>
          <w:bCs/>
          <w:color w:val="000000"/>
          <w:sz w:val="24"/>
          <w:rtl w:val="true"/>
        </w:rPr>
        <w:t>"</w:t>
      </w:r>
      <w:r>
        <w:rPr>
          <w:rFonts w:cs="David" w:ascii="David" w:hAnsi="David"/>
          <w:color w:val="000000"/>
          <w:sz w:val="24"/>
          <w:rtl w:val="true"/>
        </w:rPr>
        <w:t xml:space="preserve"> (</w:t>
      </w:r>
      <w:r>
        <w:rPr>
          <w:rFonts w:ascii="David" w:hAnsi="David" w:cs="David"/>
          <w:color w:val="000000"/>
          <w:sz w:val="24"/>
          <w:sz w:val="24"/>
          <w:rtl w:val="true"/>
        </w:rPr>
        <w:t>ר</w:t>
      </w:r>
      <w:r>
        <w:rPr>
          <w:rFonts w:cs="David" w:ascii="David" w:hAnsi="David"/>
          <w:color w:val="000000"/>
          <w:sz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rtl w:val="true"/>
        </w:rPr>
        <w:t xml:space="preserve">את 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u w:val="single"/>
          </w:rPr>
          <w:t>1267/23</w:t>
        </w:r>
      </w:hyperlink>
      <w:r>
        <w:rPr>
          <w:rFonts w:cs="David" w:ascii="David" w:hAnsi="David"/>
          <w:color w:val="000000"/>
          <w:sz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בלקר נ</w:t>
      </w:r>
      <w:r>
        <w:rPr>
          <w:rFonts w:cs="David" w:ascii="David" w:hAnsi="David"/>
          <w:b/>
          <w:bCs/>
          <w:color w:val="000000"/>
          <w:sz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מ</w:t>
      </w:r>
      <w:r>
        <w:rPr>
          <w:rFonts w:cs="David" w:ascii="David" w:hAnsi="David"/>
          <w:b/>
          <w:bCs/>
          <w:color w:val="000000"/>
          <w:sz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rtl w:val="true"/>
        </w:rPr>
        <w:t>י</w:t>
      </w:r>
      <w:r>
        <w:rPr>
          <w:rFonts w:ascii="David" w:hAnsi="David" w:cs="David"/>
          <w:color w:val="000000"/>
          <w:sz w:val="24"/>
          <w:sz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rtl w:val="true"/>
        </w:rPr>
        <w:t>(</w:t>
      </w:r>
      <w:r>
        <w:rPr>
          <w:rFonts w:cs="David" w:ascii="David" w:hAnsi="David"/>
          <w:color w:val="000000"/>
          <w:sz w:val="24"/>
        </w:rPr>
        <w:t>6.3.23</w:t>
      </w:r>
      <w:r>
        <w:rPr>
          <w:rFonts w:cs="David" w:ascii="David" w:hAnsi="David"/>
          <w:color w:val="000000"/>
          <w:sz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rtl w:val="true"/>
        </w:rPr>
        <w:t>וההפניות הנזכרות שם</w:t>
      </w:r>
      <w:r>
        <w:rPr>
          <w:rFonts w:cs="David" w:ascii="David" w:hAnsi="David"/>
          <w:color w:val="000000"/>
          <w:sz w:val="24"/>
          <w:rtl w:val="true"/>
        </w:rPr>
        <w:t xml:space="preserve">). </w:t>
      </w:r>
    </w:p>
    <w:p>
      <w:pPr>
        <w:pStyle w:val="ListParagraph"/>
        <w:bidi w:val="1"/>
        <w:ind w:end="0"/>
        <w:jc w:val="both"/>
        <w:rPr>
          <w:rFonts w:ascii="David" w:hAnsi="David" w:cs="David"/>
          <w:b/>
          <w:bCs/>
          <w:color w:val="000000"/>
          <w:sz w:val="24"/>
        </w:rPr>
      </w:pPr>
      <w:r>
        <w:rPr>
          <w:rFonts w:cs="David" w:ascii="David" w:hAnsi="David"/>
          <w:b/>
          <w:bCs/>
          <w:color w:val="000000"/>
          <w:sz w:val="24"/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באשר לעבירת החזקת התחמושת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בית המשפט העליון עמד על חומרת העבירה וציין כי </w:t>
      </w:r>
      <w:r>
        <w:rPr>
          <w:b/>
          <w:b/>
          <w:rtl w:val="true"/>
        </w:rPr>
        <w:t xml:space="preserve"> </w:t>
      </w:r>
      <w:r>
        <w:rPr>
          <w:bCs/>
          <w:rtl w:val="true"/>
        </w:rPr>
        <w:t>"</w:t>
      </w:r>
      <w:r>
        <w:rPr>
          <w:bCs/>
          <w:rtl w:val="true"/>
        </w:rPr>
        <w:t>טבעם של דברים הוא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 xml:space="preserve">כי התחמושת היא בבחינת </w:t>
      </w:r>
      <w:r>
        <w:rPr>
          <w:bCs/>
          <w:rtl w:val="true"/>
        </w:rPr>
        <w:t>"</w:t>
      </w:r>
      <w:r>
        <w:rPr>
          <w:bCs/>
          <w:rtl w:val="true"/>
        </w:rPr>
        <w:t>תנאי בלעדיו אין</w:t>
      </w:r>
      <w:r>
        <w:rPr>
          <w:bCs/>
          <w:rtl w:val="true"/>
        </w:rPr>
        <w:t xml:space="preserve">" </w:t>
      </w:r>
      <w:r>
        <w:rPr>
          <w:bCs/>
          <w:rtl w:val="true"/>
        </w:rPr>
        <w:t>לביצוע ירי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ובסופו של יום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נשקים ותחמושת שהושגו שלא כדין מובילים לפגיעה בחיי אדם ולא פעם בקורבנות תמימים</w:t>
      </w:r>
      <w:r>
        <w:rPr>
          <w:bCs/>
          <w:rtl w:val="true"/>
        </w:rPr>
        <w:t>."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ר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 xml:space="preserve">את </w:t>
      </w:r>
      <w:hyperlink r:id="rId13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587/22</w:t>
        </w:r>
      </w:hyperlink>
      <w:r>
        <w:rPr>
          <w:b/>
          <w:rtl w:val="true"/>
        </w:rPr>
        <w:t xml:space="preserve"> </w:t>
      </w:r>
      <w:r>
        <w:rPr>
          <w:bCs/>
          <w:rtl w:val="true"/>
        </w:rPr>
        <w:t>אבו נעאסה 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י</w:t>
      </w:r>
      <w:r>
        <w:rPr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22.5.22</w:t>
      </w:r>
      <w:r>
        <w:rPr>
          <w:b/>
          <w:rtl w:val="true"/>
        </w:rPr>
        <w:t xml:space="preserve">)). </w:t>
      </w:r>
    </w:p>
    <w:p>
      <w:pPr>
        <w:pStyle w:val="ListParagraph"/>
        <w:bidi w:val="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/>
      </w:pPr>
      <w:r>
        <w:rPr>
          <w:rtl w:val="true"/>
        </w:rPr>
        <w:t>הנאשם החזיק סם מסוכן מסוג קנבוס במשקל כולל העומד על כ</w:t>
      </w:r>
      <w:r>
        <w:rPr>
          <w:rtl w:val="true"/>
        </w:rPr>
        <w:t>-</w:t>
      </w:r>
      <w:r>
        <w:rPr/>
        <w:t>980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 xml:space="preserve">כמות הגבוהה מפי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 xml:space="preserve">מהכמות המוחזקת בפקודה ככמות לשימוש עצמי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במעשיו ניכר התכנון המוקדם המגולם בעצם החזקת 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עיינתי בפסיקה שהוצגה לעיוני מטעם הצדדים ובפסיקה מטעמי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מדיניות הענישה הנהוגה בעבירות בהן הורשע הנאשם רחבה ונסמכת על חומרת המעשים וכלל הנסיבות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ראו למשל</w:t>
      </w:r>
      <w:r>
        <w:rPr>
          <w:sz w:val="24"/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ind w:hanging="360" w:start="1080" w:end="0"/>
        <w:jc w:val="both"/>
        <w:rPr>
          <w:sz w:val="24"/>
        </w:rPr>
      </w:pP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רע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1267/23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בלקר 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6.3.23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המבקש הורשע בביצוע עבירה של החזקת סם שלא לצריכה עצמית והחזקת כלים להכנת סם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 נתפסו סמים במקומות 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בחצרו ובתוך קסדת אופנוע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נתפס סם מסוג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קנבוס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 xml:space="preserve">במשקל של </w:t>
      </w:r>
      <w:r>
        <w:rPr>
          <w:sz w:val="24"/>
        </w:rPr>
        <w:t>100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 נטו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 xml:space="preserve">מתחת לשולחן בחצר הבית נתפס סם מסוג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קנבוס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 xml:space="preserve">במשקל של </w:t>
      </w:r>
      <w:r>
        <w:rPr>
          <w:sz w:val="24"/>
        </w:rPr>
        <w:t>553.10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 נטו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 נתפסו שני משקלים דיגיטליים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שהיו על מדף במטבח הבית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 משפט השלום גזר על הנאשם עונש מאסר על 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אך ערעור המדינה על קולת העונש התקבל ובבית המשפט המחוזי נגזרו על הנאשם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 מאסר בעבודות שירות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בקשת רשות הערעור שהוגשה לבית המשפט העליון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נדחתה</w:t>
      </w:r>
      <w:r>
        <w:rPr>
          <w:sz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bidi w:val="1"/>
        <w:ind w:hanging="360" w:start="1080" w:end="0"/>
        <w:jc w:val="both"/>
        <w:rPr>
          <w:sz w:val="24"/>
        </w:rPr>
      </w:pPr>
      <w:hyperlink r:id="rId1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עפ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ש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u w:val="single"/>
          </w:rPr>
          <w:t>9036-02-23</w:t>
        </w:r>
      </w:hyperlink>
      <w:r>
        <w:rPr>
          <w:sz w:val="24"/>
          <w:rtl w:val="true"/>
        </w:rPr>
        <w:t xml:space="preserve">‏ </w:t>
      </w:r>
      <w:r>
        <w:rPr>
          <w:b/>
          <w:b/>
          <w:bCs/>
          <w:sz w:val="24"/>
          <w:sz w:val="24"/>
          <w:rtl w:val="true"/>
        </w:rPr>
        <w:t>אסולין 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15.3.23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הורשע המערער בהחזקת חלק של נשק או 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לפי </w:t>
      </w:r>
      <w:hyperlink r:id="rId16">
        <w:r>
          <w:rPr>
            <w:rStyle w:val="Hyperlink"/>
            <w:color w:val="0000FF"/>
            <w:sz w:val="24"/>
            <w:sz w:val="24"/>
            <w:rtl w:val="true"/>
          </w:rPr>
          <w:t xml:space="preserve">סעיף </w:t>
        </w:r>
        <w:r>
          <w:rPr>
            <w:rStyle w:val="Hyperlink"/>
            <w:color w:val="0000FF"/>
            <w:sz w:val="24"/>
          </w:rPr>
          <w:t>144</w:t>
        </w:r>
        <w:r>
          <w:rPr>
            <w:rStyle w:val="Hyperlink"/>
            <w:color w:val="0000FF"/>
            <w:sz w:val="24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color w:val="0000FF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סיפא ל</w:t>
      </w: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sz w:val="24"/>
          <w:rtl w:val="true"/>
        </w:rPr>
        <w:t xml:space="preserve"> בגין כך שהחזיק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 xml:space="preserve">כדורי </w:t>
      </w:r>
      <w:r>
        <w:rPr>
          <w:sz w:val="24"/>
        </w:rPr>
        <w:t>5.56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 המתאימים לרובי סער בכל אחת מארבע קופסאות בביתו</w:t>
      </w:r>
      <w:r>
        <w:rPr>
          <w:sz w:val="24"/>
          <w:rtl w:val="true"/>
        </w:rPr>
        <w:t xml:space="preserve">. </w:t>
      </w:r>
    </w:p>
    <w:p>
      <w:pPr>
        <w:pStyle w:val="ListParagraph"/>
        <w:bidi w:val="1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 xml:space="preserve">בית משפט השלום קבע כי את מתחם העונש ההולם בין עונש מאסר מותנה לבין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 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וגזר על המערער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 מאסר בעבודות שירות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 המשפט המחוזי קיבל את הערעור שהוגש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וקבע כי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 xml:space="preserve">בנסיבות מציאת התחמושת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האופן בו התחמושת הוחזקה</w:t>
      </w:r>
      <w:r>
        <w:rPr>
          <w:b/>
          <w:bCs/>
          <w:sz w:val="24"/>
          <w:rtl w:val="true"/>
        </w:rPr>
        <w:t xml:space="preserve">; </w:t>
      </w:r>
      <w:r>
        <w:rPr>
          <w:b/>
          <w:b/>
          <w:bCs/>
          <w:sz w:val="24"/>
          <w:sz w:val="24"/>
          <w:rtl w:val="true"/>
        </w:rPr>
        <w:t>העובדה שלא נמצאו ברשות המערער מחסניות או כלי נשק שהתחמושת מתאימה להם</w:t>
      </w:r>
      <w:r>
        <w:rPr>
          <w:b/>
          <w:bCs/>
          <w:sz w:val="24"/>
          <w:rtl w:val="true"/>
        </w:rPr>
        <w:t xml:space="preserve">; </w:t>
      </w:r>
      <w:r>
        <w:rPr>
          <w:b/>
          <w:b/>
          <w:bCs/>
          <w:sz w:val="24"/>
          <w:sz w:val="24"/>
          <w:rtl w:val="true"/>
        </w:rPr>
        <w:t>ובהינתן שהמערער לא נחשד בהצעת התחמושת למכירה או בעשיה פסולה אחרת לגביה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וכן בהתחשב בנתוני המערער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גילו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 xml:space="preserve">ומצבו הבריאותי והנפשי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יש בסיס להנחה שהחזקת התחמושת על ידי המערער לא היתה למטרה עבריינית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העונשים המוטלים על החזקת תחמושת בנסיבות כאלה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אינם כוללים בדרך כלל רכיב של מאסר</w:t>
      </w:r>
      <w:r>
        <w:rPr>
          <w:b/>
          <w:bCs/>
          <w:sz w:val="24"/>
          <w:rtl w:val="true"/>
        </w:rPr>
        <w:t>".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 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הקל בית המשפט המחוזי בעונש וגזר על המערער עונש מאסר על 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חלף עבודות השירות</w:t>
      </w:r>
      <w:r>
        <w:rPr>
          <w:sz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bidi w:val="1"/>
        <w:ind w:hanging="360" w:start="108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10596-12-20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סבית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16.4.23</w:t>
      </w:r>
      <w:r>
        <w:rPr>
          <w:rtl w:val="true"/>
        </w:rPr>
        <w:t xml:space="preserve">) </w:t>
      </w:r>
      <w:r>
        <w:rPr>
          <w:rtl w:val="true"/>
        </w:rPr>
        <w:t>הנאשם הורשע בביצוע עבירה שך החזקת סם שלא לצריכה עצמית בכך שבין רגליו בעודו ברכב</w:t>
      </w:r>
      <w:r>
        <w:rPr>
          <w:rtl w:val="true"/>
        </w:rPr>
        <w:t xml:space="preserve">, </w:t>
      </w:r>
      <w:r>
        <w:rPr>
          <w:rtl w:val="true"/>
        </w:rPr>
        <w:t xml:space="preserve">נתפסו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גרם סם מסוג קנבוס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את מתחם העונש ההולם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ובשים לב לשיקום שעבר הנאשם</w:t>
      </w:r>
      <w:r>
        <w:rPr>
          <w:rtl w:val="true"/>
        </w:rPr>
        <w:t xml:space="preserve">, </w:t>
      </w:r>
      <w:r>
        <w:rPr>
          <w:rtl w:val="true"/>
        </w:rPr>
        <w:t xml:space="preserve">גזר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מכל המפורט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אבחנה לענייננו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קובעת כי מתחם העונש ההולם נע בין חודשי מאסר ספורים לנשיאה בדרך של עבודות שירות ועד ל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ענישה נילווית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/>
      </w:pPr>
      <w:r>
        <w:rPr>
          <w:rtl w:val="true"/>
        </w:rPr>
        <w:t>לא מצאתי</w:t>
      </w:r>
      <w:r>
        <w:rPr>
          <w:rtl w:val="true"/>
        </w:rPr>
        <w:t xml:space="preserve">, </w:t>
      </w:r>
      <w:r>
        <w:rPr>
          <w:rtl w:val="true"/>
        </w:rPr>
        <w:t>בנסיבות המקרה שלפניי</w:t>
      </w:r>
      <w:r>
        <w:rPr>
          <w:rtl w:val="true"/>
        </w:rPr>
        <w:t xml:space="preserve">, </w:t>
      </w:r>
      <w:r>
        <w:rPr>
          <w:rtl w:val="true"/>
        </w:rPr>
        <w:t>שיקולים המצדיקים לסטות מן ממתחם הענישה ההולם לקולה או לחומרה או כאלה המצדיקים הארכת עונש המאסר המותנה העומד כנגדו</w:t>
      </w:r>
      <w:r>
        <w:rPr>
          <w:rtl w:val="true"/>
        </w:rPr>
        <w:t xml:space="preserve">. </w:t>
      </w:r>
    </w:p>
    <w:p>
      <w:pPr>
        <w:pStyle w:val="ListParagraph"/>
        <w:bidi w:val="1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rtl w:val="true"/>
        </w:rPr>
        <w:t>ראשית אזקוף לזכות הנאשם את תיקונו של כתב האישום לקולה והודאתו בביצוע העבירות תוך חיסכון בזמנם של העדים</w:t>
      </w:r>
      <w:r>
        <w:rPr>
          <w:rtl w:val="true"/>
        </w:rPr>
        <w:t>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עוד הנני מתחשבת בכך שהנאשם שומר על יציבות תעסוקתית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 ביצע עבירות נוספות בחלוף הזמן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היותו אב מוערך המבקש לשמש דמות משמעותית לילדיו</w:t>
      </w:r>
      <w:r>
        <w:rPr>
          <w:b/>
          <w:rtl w:val="true"/>
        </w:rPr>
        <w:t>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כמו 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בדיקות שתן שמסר הנאשם לשירות המבחן נמצאו נקיות משרידי סמים שאינם חלק מהטיפול הרפואי אותו הוא נוטל</w:t>
      </w:r>
      <w:r>
        <w:rPr>
          <w:b/>
          <w:rtl w:val="true"/>
        </w:rPr>
        <w:t>.</w:t>
      </w:r>
    </w:p>
    <w:p>
      <w:pPr>
        <w:pStyle w:val="ListParagraph"/>
        <w:bidi w:val="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יחד עם זאת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 ניתן להתעלם מהאמור בתסקירי שירות המבחן כאשר הנאשם לא השתלב שם בטיפול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על אף שבתחילה הביע רצון לקחת חלק בטיפול בתחום הבריאותי והן בתחום ההתמכרות לסמים</w:t>
      </w:r>
      <w:r>
        <w:rPr>
          <w:b/>
          <w:rtl w:val="true"/>
        </w:rPr>
        <w:t xml:space="preserve">. 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זאת ועוד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שירות המבחן התרשם כי מצבו הנפשי של הנאשם מתדרדר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מהיותו בעל כישורים דלים להתמודדות במצבי לחץ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ומעמדותיו באשר לאחריותו בעבירה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על 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ונוכח מצבו הנפשי המורכב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 בא שירות המבחן בסופו של יום בהמלצה לשלב את הנאשם בהליך טיפולי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ואף לא המליץ להעמידו בצו מבחן</w:t>
      </w:r>
      <w:r>
        <w:rPr>
          <w:b/>
          <w:rtl w:val="true"/>
        </w:rPr>
        <w:t xml:space="preserve">. 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אומנם שירות המבחן בחן עם הנאשם את האפשרות לבצע צו של</w:t>
      </w:r>
      <w:r>
        <w:rPr>
          <w:b/>
          <w:rtl w:val="true"/>
        </w:rPr>
        <w:t>"</w:t>
      </w:r>
      <w:r>
        <w:rPr>
          <w:b/>
          <w:b/>
          <w:rtl w:val="true"/>
        </w:rPr>
        <w:t>צ כתנאי להארכת עונש המאסר המותנה העומד כנגדו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אך בו בזמן הביע ספקנות באשר ליכולתו לעמוד בביצוע הצו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</w:rPr>
      </w:pPr>
      <w:r>
        <w:rPr>
          <w:b/>
          <w:b/>
          <w:rtl w:val="true"/>
        </w:rPr>
        <w:t>יתר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בהתבוננות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פנימית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ביקורתית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בחירותיו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ודפוסיו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שולב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בהליך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טיפולי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ספקנות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</w:t>
      </w:r>
      <w:r>
        <w:rPr>
          <w:b/>
          <w:rtl w:val="true"/>
        </w:rPr>
        <w:t xml:space="preserve">-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מצאתי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להורות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הארכת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המותנה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bookmarkStart w:id="11" w:name="Nitan"/>
      <w:r>
        <w:rPr>
          <w:b/>
          <w:b/>
          <w:rtl w:val="true"/>
        </w:rPr>
        <w:t>עם זאת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ועל אף נוכח האמור לעיל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לא ניתן להתעלם מהמאמצים הניכרים אותם עורך </w:t>
      </w:r>
      <w:bookmarkEnd w:id="11"/>
      <w:r>
        <w:rPr>
          <w:b/>
          <w:b/>
          <w:rtl w:val="true"/>
        </w:rPr>
        <w:t>הנאשם להבטחת עתיד משפחתו ושמירה על פרנסת בני ביתו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מאמצים הבאים לידי ביטוי הן במעקב פסיכיאטרי ובטיפול תרופתי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כעולה מהמסמכים שצורפו על ידי ההגנה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והן בכך שעל אף חלוף הזמן לא היה הנאשם מעורב בעבירות נוספות</w:t>
      </w:r>
      <w:r>
        <w:rPr>
          <w:b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סופו של דבר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לאחר ששקלתי את כלל השיקולים הנדרשים לעניין ובכלל זה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האינטרס הציבורי אל מול מהות מעשיו של 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עברו הפלילי המכביד בתחום הסמים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נסיבותיו האישיות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לרבות מצבו הרפואי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הכלכלי והמשפחתי ובכלל זה המשבר המשפחתי שפקד את ביתו נוכח מות בתו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ההשלכות הצפויות כתוצאה מאובדן מקור פרנסת המשפחה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מאמציו של הנאשם לעלות על דרך המלך והתנהלותו מאז ביצוע העבירות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מצאתי כי שיקולים אלה מצדיקים העמדתו ברף התחתון של מתחם העונש ההולם והפעלת עונש המאסר המותנה בחופף לעונש שייגזר עליו</w:t>
      </w:r>
      <w:r>
        <w:rPr>
          <w:b/>
          <w:rtl w:val="true"/>
        </w:rPr>
        <w:t xml:space="preserve">. 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>
          <w:b/>
        </w:rPr>
      </w:pPr>
      <w:r>
        <w:rPr>
          <w:b/>
          <w:b/>
          <w:rtl w:val="true"/>
        </w:rPr>
        <w:t>באשר לרכיב עונש פסילת רישיון הנהיגה בפועל ועל תנאי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כפי שעתרה המאשימה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הרי שעה שהעבירות לא בוצעו בדרך או בכלי רכב לא מצאתי לגזור רכיבי ענישה אלה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bidi w:val="1"/>
        <w:ind w:hanging="360" w:start="720" w:end="0"/>
        <w:jc w:val="both"/>
        <w:rPr/>
      </w:pPr>
      <w:r>
        <w:rPr>
          <w:rtl w:val="true"/>
        </w:rPr>
        <w:t>לאור האמור לעיל הנני גוזרת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25.6.24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לוחמי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ListParagraph"/>
        <w:numPr>
          <w:ilvl w:val="0"/>
          <w:numId w:val="1"/>
        </w:numPr>
        <w:bidi w:val="1"/>
        <w:ind w:hanging="360" w:start="1080" w:end="0"/>
        <w:jc w:val="both"/>
        <w:rPr/>
      </w:pPr>
      <w:r>
        <w:rPr>
          <w:rtl w:val="true"/>
        </w:rPr>
        <w:t xml:space="preserve">מורה על הפעלת עונש המאסר המותנה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כפי שנגזר על הנאשם ביום </w:t>
      </w:r>
      <w:r>
        <w:rPr/>
        <w:t>2.10.18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28163-02-18</w:t>
        </w:r>
      </w:hyperlink>
      <w:r>
        <w:rPr>
          <w:rtl w:val="true"/>
        </w:rPr>
        <w:t xml:space="preserve">. </w:t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  <w:t>עונשי המאסר ירוצו באופן חופף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1,200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1.5.24</w:t>
      </w:r>
      <w:r>
        <w:rPr>
          <w:rtl w:val="true"/>
        </w:rPr>
        <w:t xml:space="preserve"> 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 </w:t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  <w:t>באם אחד מהתשלומים לא יפרע במועדו</w:t>
      </w:r>
      <w:r>
        <w:rPr>
          <w:rtl w:val="true"/>
        </w:rPr>
        <w:t xml:space="preserve">, </w:t>
      </w:r>
      <w:r>
        <w:rPr>
          <w:rtl w:val="true"/>
        </w:rPr>
        <w:t>תעמוד היתרה לפירעון מידי ותועבר לגבייה באמצעות המרכז לגביית קנסות</w:t>
      </w:r>
      <w:r>
        <w:rPr>
          <w:rtl w:val="true"/>
        </w:rPr>
        <w:t xml:space="preserve">. </w:t>
      </w:r>
      <w:r>
        <w:rPr>
          <w:rtl w:val="true"/>
        </w:rPr>
        <w:t>הנאשם מתבקש לגשת למזכירות בית המשפט לקבלת הוראות בעניין התשלום</w:t>
      </w:r>
      <w:r>
        <w:rPr>
          <w:rtl w:val="true"/>
        </w:rPr>
        <w:t xml:space="preserve">.  </w:t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ind w:hanging="360" w:start="1080" w:end="0"/>
        <w:jc w:val="both"/>
        <w:rPr/>
      </w:pPr>
      <w:r>
        <w:rPr>
          <w:rtl w:val="true"/>
        </w:rPr>
        <w:t xml:space="preserve">מורה על הפעלת ההתחייבות בסך של </w:t>
      </w:r>
      <w:r>
        <w:rPr/>
        <w:t>2,500</w:t>
      </w:r>
      <w:r>
        <w:rPr>
          <w:rtl w:val="true"/>
        </w:rPr>
        <w:t xml:space="preserve"> ₪, </w:t>
      </w:r>
      <w:r>
        <w:rPr>
          <w:rtl w:val="true"/>
        </w:rPr>
        <w:t>עליה חתם הנאשם 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28163-02-18</w:t>
        </w:r>
      </w:hyperlink>
      <w:r>
        <w:rPr>
          <w:rtl w:val="true"/>
        </w:rPr>
        <w:t xml:space="preserve">. </w:t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  <w:t>הסכום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1.5.24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 </w:t>
      </w:r>
    </w:p>
    <w:p>
      <w:pPr>
        <w:pStyle w:val="ListParagraph"/>
        <w:bidi w:val="1"/>
        <w:ind w:start="1080" w:end="0"/>
        <w:jc w:val="both"/>
        <w:rPr/>
      </w:pPr>
      <w:r>
        <w:rPr>
          <w:rtl w:val="true"/>
        </w:rPr>
        <w:t>באם אחד מהתשלומים לא יפרע במועדו</w:t>
      </w:r>
      <w:r>
        <w:rPr>
          <w:rtl w:val="true"/>
        </w:rPr>
        <w:t xml:space="preserve">, </w:t>
      </w:r>
      <w:r>
        <w:rPr>
          <w:rtl w:val="true"/>
        </w:rPr>
        <w:t>תעמוד היתרה לפירעון מידי ותועבר לגבייה באמצעות המרכז לגביית קנסות</w:t>
      </w:r>
      <w:r>
        <w:rPr>
          <w:rtl w:val="true"/>
        </w:rPr>
        <w:t xml:space="preserve">. </w:t>
      </w:r>
      <w:r>
        <w:rPr>
          <w:rtl w:val="true"/>
        </w:rPr>
        <w:t>הנאשם מתבקש לגשת למזכירות בית המשפט לקבלת הוראות בעניין התשלום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₪.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tl w:val="true"/>
        </w:rPr>
        <w:t xml:space="preserve">, </w:t>
      </w:r>
      <w:r>
        <w:rPr>
          <w:rtl w:val="true"/>
        </w:rPr>
        <w:t>יתווספו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והמוצגים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25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Times New Roman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ט אדר 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אפריל </w:t>
      </w:r>
      <w:r>
        <w:rPr>
          <w:rFonts w:cs="David" w:ascii="David" w:hAnsi="David"/>
          <w:sz w:val="26"/>
          <w:szCs w:val="26"/>
        </w:rPr>
        <w:t>2024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ascii="David" w:hAnsi="David"/>
          <w:sz w:val="26"/>
          <w:sz w:val="26"/>
          <w:szCs w:val="26"/>
          <w:rtl w:val="true"/>
        </w:rPr>
        <w:t>נוכחות הנאשם וב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ascii="David" w:hAnsi="David"/>
          <w:sz w:val="26"/>
          <w:sz w:val="26"/>
          <w:szCs w:val="26"/>
          <w:rtl w:val="true"/>
        </w:rPr>
        <w:t xml:space="preserve"> הצדדים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 אוסטפלד נאוי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55444-10-21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ברדה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bidi w:val="0"/>
      <w:spacing w:lineRule="auto" w:line="360" w:before="0" w:after="160"/>
      <w:ind w:hanging="0" w:start="720" w:end="0"/>
      <w:contextualSpacing/>
    </w:pPr>
    <w:rPr>
      <w:rFonts w:ascii="Calibri" w:hAnsi="Calibri" w:eastAsia="Calibri" w:cs="Calibri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/7.a.;7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3638638" TargetMode="External"/><Relationship Id="rId12" Type="http://schemas.openxmlformats.org/officeDocument/2006/relationships/hyperlink" Target="http://www.nevo.co.il/case/29396498" TargetMode="External"/><Relationship Id="rId13" Type="http://schemas.openxmlformats.org/officeDocument/2006/relationships/hyperlink" Target="http://www.nevo.co.il/case/28268880" TargetMode="External"/><Relationship Id="rId14" Type="http://schemas.openxmlformats.org/officeDocument/2006/relationships/hyperlink" Target="http://www.nevo.co.il/case/29396498" TargetMode="External"/><Relationship Id="rId15" Type="http://schemas.openxmlformats.org/officeDocument/2006/relationships/hyperlink" Target="http://www.nevo.co.il/case/29372283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212817" TargetMode="External"/><Relationship Id="rId19" Type="http://schemas.openxmlformats.org/officeDocument/2006/relationships/hyperlink" Target="http://www.nevo.co.il/case/23638638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23638638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2024-04-11T12:19:00Z</dcterms:created>
  <dc:creator> </dc:creator>
  <dc:description/>
  <cp:keywords/>
  <dc:language>en-IL</dc:language>
  <cp:lastModifiedBy>h1</cp:lastModifiedBy>
  <dcterms:modified xsi:type="dcterms:W3CDTF">2024-04-11T12:19:00Z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ברדה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23638638:3;29396498:2;28268880;29372283;27212817</vt:lpwstr>
  </property>
  <property fmtid="{D5CDD505-2E9C-101B-9397-08002B2CF9AE}" pid="9" name="CITY">
    <vt:lpwstr>ראשל"צ</vt:lpwstr>
  </property>
  <property fmtid="{D5CDD505-2E9C-101B-9397-08002B2CF9AE}" pid="10" name="DATE">
    <vt:lpwstr>20240408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טל אוסטפלד נאוי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70301/144.a:2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55444</vt:lpwstr>
  </property>
  <property fmtid="{D5CDD505-2E9C-101B-9397-08002B2CF9AE}" pid="23" name="NEWPARTB">
    <vt:lpwstr>10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N_DATE">
    <vt:lpwstr>3801900001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