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55670-06-17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שבו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898"/>
        <w:gridCol w:w="2719"/>
        <w:gridCol w:w="871"/>
      </w:tblGrid>
      <w:tr>
        <w:trPr>
          <w:trHeight w:val="295" w:hRule="atLeast"/>
        </w:trPr>
        <w:tc>
          <w:tcPr>
            <w:tcW w:w="794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שבו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לאחר שמיעת שני עדי 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 הצדדים להסדר טיעון במסגרתו הוגש נגד הנאשם כתב אישום מתוקן והוא הודה בעובדותיו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שאלה עיקריהן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בין הנאשם לבין 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קיימת היכרות מוקדמת לאירועים שיתוארו 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09.06.17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 הלילה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 בחצר 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ביקש משכנו הקטין שעבר במקום כי יקנה עבורו סיגריות וחטיף ונתן לו שטר של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בסמוך לשעה </w:t>
      </w:r>
      <w:r>
        <w:rPr>
          <w:rFonts w:cs="Calibri" w:ascii="Calibri" w:hAnsi="Calibri"/>
        </w:rPr>
        <w:t>23:30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 הקטין לקיוסק בו עבד המתלונן כמוכר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הקטין אמר למתלונן שהנאשם שלח אותו  לקנות לו סיגריות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השיב כי הוא אינו מוכר סיגריות לקטינים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 לקטין לומר לנאשם שהוא לא מוכר סיגריות לילדים</w:t>
      </w:r>
      <w:r>
        <w:rPr>
          <w:rFonts w:cs="Calibri" w:ascii="Calibri" w:hAnsi="Calibri"/>
          <w:rtl w:val="true"/>
        </w:rPr>
        <w:t xml:space="preserve">; </w:t>
      </w:r>
      <w:bookmarkStart w:id="8" w:name="ABSTRACT_END"/>
      <w:bookmarkEnd w:id="8"/>
      <w:r>
        <w:rPr>
          <w:rFonts w:ascii="Calibri" w:hAnsi="Calibri" w:cs="Calibri"/>
          <w:rtl w:val="true"/>
        </w:rPr>
        <w:t>שהוא לא מוכן למכור יותר לנאשם בירות בלילה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שזו פעם אחרונה שהנאשם שולח אליו ילדים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והוסיף אמירה המזלזלת בנאשם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הקטין השיב למתלונן כי יעביר את הדברים 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ובינתיים אדם אחר שעבר במקום קנה עבור הקטין את הסיגריות והחטיף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והקטין חזר לביתו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 לו את המוצרים שקנה עבורו וסיפר לו את דברי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שהנאשם שמע את 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התקשר למתלונן ואמר לו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אתה רוצה אני אבוא יזיין אותך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והמתלונן השיב לו שיבוא אם הוא רוצה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השיחה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אמר לקטין כי הוא הולך להרוג את המתלונן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לזיין אותו במכות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לשבור לו את כל עצמות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דודו של הנאשם ששמע את אמירות הנאשם אמר לו שלא יעשה שטויות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 אמר כי ישלח כמה בדואים 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יזיינו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את המתלונן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בסמוך לשעה </w:t>
      </w:r>
      <w:r>
        <w:rPr>
          <w:rFonts w:cs="Calibri" w:ascii="Calibri" w:hAnsi="Calibri"/>
        </w:rPr>
        <w:t>02:10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הגיע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אחר שזהותו אינה ידועה 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לקיוסק כשהוא רכוב על קטנוע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 את הקטנוע סמוך למתלונן ואמר לו שאם יש לו אומץ שיגיע לחניה האחורית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השיב לו שהוא יגיע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 והאחר נסעו על הקטנוע לחניה האחורית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בינתיים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 לקח מפתח ברגים והחל לצעוד לעבר החניה האחורית כשעמו שני חברים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 לאחר שהמתלונן הגיע לחניה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הנאשם נעמד במרחק מה ממנו מאחורי רכב חונה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 לירות באקדח 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ירייה אחת לפחות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 להטיל בו 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מום או לגרום לו לחבלה 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החל לברוח והנאשם רדף אחריו וירה 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 לפגוע בו כאמור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יסוד הודאת הנאשם בעובדות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הורשע בעבירה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ובעבירה של 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סעיף </w:t>
      </w:r>
      <w:hyperlink r:id="rId8"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העונשין 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במסגרת הסדר הטיעון הסכימו הצדדים כי התביעה תעתור להטיל על הנאשם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ועונשים נלווים וההגנה תטען לעניין המאסר בפועל כראות עיניה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הכין תסקיר על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 צויינו בין היתר הדברים הבאים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בן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מצוי בזוגיות ואב לילדה בת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טרם מעצרו התגורר בבית אמו באשקלון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עבד בעבודות מזדמנות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תקופה מסוימת לא עבד לאחר נסיון התנקשות בו באמצעות 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 כי מאז הוא נמצא בחרדות בסיטואציות מסוימות ומתקשה לחזור לתפקוד 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במשפחתה המורחבת של האם קשיי תפקוד משמעותיים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והוא אינו מכיר את אביו ואינו יודע את זהותו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 xml:space="preserve">בגיל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הוכרז כקטין נזקק והוצא לפנימיה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הוא שהה בפנימייה עד גיל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 חזר לביתו בשל סירובו להמשיך ולשהות בפנימייה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חזרתו הוא התקשה להשתלב בלימודים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סיים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לימוד ויצא לעבוד בשל קשיים כלכליים ורצונו לסייע בפרנסת 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עבד בעבודות מזדמנות עד גיוסו 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בשירותו הצבאי התקשה להתמודד עם המרחק מביתו ומחברתו ולאחר חודש ערק מהשירות למשך כשבעה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וריצה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בכלא צבאי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שלל שימוש 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אישר שתייה מזדמנת של אלכוהול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 בסופי שבוע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ובאירועים חברתיים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שלל בעייתיות בתחום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העריך כי קיימת בעייתיות בתחום 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הודה בביצועה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 כי המתלונן מוכר לו היכרות שטחית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שלל סכסוך קודם עמו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שיתף כי דבריו של המתלונן לקטין השפילו אותו ולכן הגיב כפי שהגיב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 לא היתה לו כוונה לפגוע במתלונן אלא לאיים עליו ולהרתיע אותו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העריך כי הנאשם מבטא רצון לניהול אורח חיים יציב ותקין אך הוא בעל זהות עצמית בלתי מגובשת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מתקשה בתפקוד יומיומי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מתקשה ליצור יציבות בעבודה ומתקשה להתמודד בסיטואציות שונות בהם הוא חווה פגיעה או השפלה בכבודו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ובמצבים אלה הוא עלול להגיב באופן לא מותאם תוך שימוש בנורמות עברייניות ומאיימות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 ששקל את גורמי הסיכוי והסיכון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 שירות המבחן להטיל על הנאשם ענישה מוחשית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 ופיצוי 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 הצדדים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התביעה חזר על עובדות כתב 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טען כי מעשי הנאשם פגעו בערכים החברתיים של קדושת 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הזכות לביטחון 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 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 האדם ושלוות נפשו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ומידת הפגיעה בהם הינה ברף הגבוה 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 שהנאשם הגיע למקום כשהוא מזוין בנשק חם וירה לעבר המתלונן במטרה לגרום לו לחבלה 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נכות או מום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 על הנזק הפוטנציאלי החמור הטמון במעשי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שיכל במעשיו לגרום לפציעתו הקשה של המתלונן ואף למותו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הפגיעה הנפשית שנגרמה למתלונן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 התכנון המוקדם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 חלקו של הנאשם בעבירה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ועל המניע למעשיו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וציין את העובדה כי הנאשם הצליח להשיג נשק תוך זמן קצר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 על מדיניות הענישה המחמירה בעבירות של חבלה בכוונה מחמירה והפנה לפסיקה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טען כי מתחם העונש ההולם נע בין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 את עברו הפלילי של הנאשם ואת הצורך בהרתעת הנאשם והציבור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ועתר להטיל על הנאשם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 מרתיע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 ופיצוי משמעותי 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ציין כי הנאשם הודה במיוחס 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ולקח אחריות על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ציין כי הנאשם צעיר בן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 לתינוקת בת 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מצבו הסוציואקונומי 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עצמו היה קורבן לעבירת אלימות קשה וחייו ניצלו בנס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טען כי הנאשם מצר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והדגיש כי בסופו של יום המתלונן לא נפגע פיזית ממעשי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טען כי מתחם העונש ההולם נע בין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וכי יש להטיל על הנאשם עונש המצוי ברף התחתון של מתחם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וביקש להתחשב בנסיבותיו של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 הורשע בעבירה של 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ובעבירה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סעיף </w:t>
      </w:r>
      <w:hyperlink r:id="rId11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עבירת החזקת הנשק נעברה תוך ביצוע עבירת החבלה בכוונה 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שתי העבירות בוצעו בו זמנית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באותו הקשר ומתוך אותה כוונה פלילית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לראות בהן כאירוע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לקבוע מתחם עונש הולם לאירוע כולו ולגזור עונש כולל לשתי 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ascii="Calibri" w:hAnsi="Calibri" w:cs="Calibri"/>
          <w:rtl w:val="true"/>
        </w:rPr>
        <w:t>מעשי הנאשם חמורים 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שמע דברים שהמתלונן אמר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שפגעו בכבודו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 אל מקום עבודת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קרא לו להגיע לחניה סמוכה ושם ירה לעברו לפחות יריה 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 להטיל בו נכות או מום או לגרום לו חבלה 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המבוהל החל לברוח והנאשם רדף אחריו וירה לעברו בכוונה לפגוע 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עבירת החבלה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הורשע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משתכללת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באחת מחלופותיה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מקום בו לא נגרמה פגיעה באדם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חומרתה הרבה נעוצה בסיכון הגלום במעשה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ובכוונה לגרום לפגיעה גופנית חמורה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הערכים החברתיים המרכזיים שנפגעו ממעשי העבירות של הנאשם 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חיי 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שמירת 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 הציבור ובטחונו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ומידת הפגיעה בהם כאן היא משמעותית מאוד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העבירה של 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 מהחמורות שב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העונש המירבי הקבוע לצדה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מדבר בעדו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והקול היוצא מפסיקת בתי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המתבקש מאליו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בעבירות אלימות חמורות ובמיוחד במקרים בהם נעשה שימוש בנשק 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להטיל עונשים חמורים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הכוללים מאסר לתקופה משמעותית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1440" w:end="90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הצנועה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b/>
          <w:b/>
          <w:bCs/>
          <w:rtl w:val="true"/>
          <w:lang w:eastAsia="he-IL"/>
        </w:rPr>
        <w:t>תרומה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תמצא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ביטויה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החמורים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ששומה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עליהם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בתי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לגזור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שפשו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במקומנו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כמגיפה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שבליבנו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אכזרי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אכזרי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קצה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יצא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הקול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ויידעו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שיורשע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יישא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חמור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מעשהו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והעונש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וככל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שייעצם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תארך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תקופת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b/>
          <w:bCs/>
          <w:rtl w:val="true"/>
          <w:lang w:eastAsia="he-IL"/>
        </w:rPr>
        <w:t>..."</w:t>
      </w:r>
      <w:r>
        <w:rPr>
          <w:rtl w:val="true"/>
          <w:lang w:eastAsia="he-IL"/>
        </w:rPr>
        <w:t>. (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8314/03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2005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 </w:t>
      </w:r>
      <w:r>
        <w:rPr>
          <w:lang w:eastAsia="he-IL"/>
        </w:rPr>
        <w:t>3016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start="1440" w:end="90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 </w:t>
        <w:tab/>
      </w:r>
      <w:r>
        <w:rPr>
          <w:rFonts w:ascii="Calibri" w:hAnsi="Calibri" w:cs="Calibri"/>
          <w:rtl w:val="true"/>
        </w:rPr>
        <w:t>הלכה 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 משפט גוזרים על נאשמים שהורשעו בעבירות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 הדומות 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שנות  מאסר בפועל</w:t>
      </w:r>
      <w:r>
        <w:rPr>
          <w:rFonts w:cs="Calibri" w:ascii="Calibri" w:hAnsi="Calibri"/>
          <w:rtl w:val="true"/>
        </w:rPr>
        <w:t xml:space="preserve">. </w:t>
        <w:tab/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5015/15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מוחמד ריאן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29.03.2016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המשיב החזיק בתת מקלע מסוג קרל גוסטב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במועד מסוים הוא הגיע עם הנשק לבית בו עבד המתלונן בעבודות ריצוף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 אליו וירה לעברו לפחות שלוש יריות ממרחק קרוב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 פוגע בידו הימנית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רץ מספר מטרים בניסיון להימלט 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הוא רדף 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תפס 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הפילו ארצה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והיכה בחוזקה בראשו באמצעות הנשק שאחז בידו – והכל כדי לגרום לו חבלה 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נכות או מום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בית המשפט המחוזי קבע כי </w:t>
      </w:r>
      <w:r>
        <w:rPr>
          <w:rFonts w:ascii="Calibri" w:hAnsi="Calibri" w:cs="Calibri"/>
          <w:b/>
          <w:b/>
          <w:bCs/>
          <w:rtl w:val="true"/>
        </w:rPr>
        <w:t>מתחם העונש ההולם</w:t>
      </w:r>
      <w:r>
        <w:rPr>
          <w:rFonts w:ascii="Calibri" w:hAnsi="Calibri" w:cs="Calibri"/>
          <w:rtl w:val="true"/>
        </w:rPr>
        <w:t xml:space="preserve"> למעשי המשיב נע </w:t>
      </w:r>
      <w:r>
        <w:rPr>
          <w:rFonts w:ascii="Calibri" w:hAnsi="Calibri" w:cs="Calibri"/>
          <w:b/>
          <w:b/>
          <w:bCs/>
          <w:rtl w:val="true"/>
        </w:rPr>
        <w:t xml:space="preserve">בין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וגזר עליו </w:t>
      </w:r>
      <w:r>
        <w:rPr>
          <w:rFonts w:ascii="Calibri" w:hAnsi="Calibri" w:cs="Calibri"/>
          <w:b/>
          <w:b/>
          <w:bCs/>
          <w:rtl w:val="true"/>
        </w:rPr>
        <w:t>ארבע 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העליון קיבל את ערעור המדינה והחמיר את העונש ל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5.5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אמירת הדברים הבאים</w:t>
      </w:r>
      <w:r>
        <w:rPr>
          <w:rFonts w:cs="Calibri" w:ascii="Calibri" w:hAnsi="Calibri"/>
          <w:rtl w:val="true"/>
        </w:rPr>
        <w:t xml:space="preserve">-  </w:t>
      </w:r>
    </w:p>
    <w:p>
      <w:pPr>
        <w:pStyle w:val="Normal"/>
        <w:spacing w:lineRule="auto" w:line="360" w:before="0" w:after="20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המשיב הורשע בעבירות אלימות חמורות תוך שימוש בנשק 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בית משפט זה עמד לא אחת על הסכנות הגלומות בתופעה של שימוש בנשק חם לשם פתרון סכסוכים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 עלולות לפגוע בזכותו של כל אדם לשלמות 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4697/11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 ישראל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אלצאנע</w:t>
      </w:r>
      <w:r>
        <w:rPr>
          <w:rFonts w:cs="Calibri" w:ascii="Calibri" w:hAnsi="Calibri"/>
          <w:rtl w:val="true"/>
        </w:rPr>
        <w:t>, 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 xml:space="preserve">בפיסקה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24.3.2013</w:t>
      </w:r>
      <w:r>
        <w:rPr>
          <w:rFonts w:cs="Calibri" w:ascii="Calibri" w:hAnsi="Calibri"/>
          <w:rtl w:val="true"/>
        </w:rPr>
        <w:t xml:space="preserve">);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אדרי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 ישראל</w:t>
      </w:r>
      <w:r>
        <w:rPr>
          <w:rFonts w:cs="Calibri" w:ascii="Calibri" w:hAnsi="Calibri"/>
          <w:rtl w:val="true"/>
        </w:rPr>
        <w:t>, 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 xml:space="preserve">בפיסקה עב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29.1.2015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חומרה מיוחדת מיוחסת בפסיקת בית משפט זה לאותם מקרים שבהם השימוש בנשק חם נעשה בתוך שטח עירוני ובסביבת בתי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כן נקבע לגבי תופעה זו כי</w:t>
      </w:r>
      <w:r>
        <w:rPr>
          <w:rFonts w:cs="Calibri" w:ascii="Calibri" w:hAnsi="Calibri"/>
          <w:rtl w:val="true"/>
        </w:rPr>
        <w:t xml:space="preserve">: "[...] </w:t>
      </w:r>
      <w:r>
        <w:rPr>
          <w:rFonts w:ascii="Calibri" w:hAnsi="Calibri" w:cs="Calibri"/>
          <w:rtl w:val="true"/>
        </w:rPr>
        <w:t>הרעה החולה הפוקדת את מקומותינו ומותירה חלל והרס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 התופעה של שימוש בנשק חם ברחובה של 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בשל סכסוכים בעניינים של מה 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משפט זה חזר והתריע מפני התפשטות התופעה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וקבע באופן ברור כי יש להילחם בה ולמגרה באופן הנחרץ ביותר </w:t>
      </w:r>
      <w:r>
        <w:rPr>
          <w:rFonts w:cs="Calibri" w:ascii="Calibri" w:hAnsi="Calibri"/>
          <w:rtl w:val="true"/>
        </w:rPr>
        <w:t xml:space="preserve">[...] </w:t>
      </w:r>
      <w:r>
        <w:rPr>
          <w:rFonts w:ascii="Calibri" w:hAnsi="Calibri" w:cs="Calibri"/>
          <w:rtl w:val="true"/>
        </w:rPr>
        <w:t>אין מנוס מהטלת עונש מאסר של ממש בנסיבות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מדובר באנשים נורמטיביים ללא עבר פלילי מכביד</w:t>
      </w:r>
      <w:r>
        <w:rPr>
          <w:rFonts w:cs="Calibri" w:ascii="Calibri" w:hAnsi="Calibri"/>
          <w:rtl w:val="true"/>
        </w:rPr>
        <w:t>" (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עמאש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 ישראל</w:t>
      </w:r>
      <w:r>
        <w:rPr>
          <w:rFonts w:cs="Calibri" w:ascii="Calibri" w:hAnsi="Calibri"/>
          <w:rtl w:val="true"/>
        </w:rPr>
        <w:t>, 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 xml:space="preserve">בפיסקה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17.9.2015</w:t>
      </w:r>
      <w:r>
        <w:rPr>
          <w:rFonts w:cs="Calibri" w:ascii="Calibri" w:hAnsi="Calibri"/>
          <w:rtl w:val="true"/>
        </w:rPr>
        <w:t xml:space="preserve">)).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בענייננו החומרה אותה יש לייחס למעשיו של המשיב אף גוברת כאשר ניתנת הדעת לתכנון שקדם להם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8956/10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אופק תשובה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15.07.2012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המערער נסע אחרי רכבו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אתו היה לו סכסוך 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נושא עמו אקדח טעון ללא היתר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עצר את רכבו ויצא לעבר רכבו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החל להסיע את רכבו לאחור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ותוך כדי כך ירה לעבר המתלונן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 מן 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הכדורים פגעו ברכבו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בדלתו של בית 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פעל כפי שפעל במטרה להניע את המתלונן לשלם לו את סכום הכסף שדרש 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הורשע בעבירות של סחיטה באיומים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נשיאה והובלת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היזק במזיד לרכוש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נהיגה ללא רישיון נהיגה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ונהיגה ללא ביטוח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ונגזרו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העליון דחה את ערעורו על חומרת העונש וקבע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20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 הודה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מצייר תמונה 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הצטייד באקדח 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 בעקבות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 לעברו כדורים חיים תוך שהוא נוהג 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נסיבות אלו מלמדות כי לפנינו עבירת 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שחומרתה איננה מסתכמת רק במה שאירע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 גם במה שעלול היה להתרחש – קרי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הסיכון הפוטנציאלי שהיה טמון בהתנהגות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האירוע נמשך דקות ארוכות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שהמערער יכול היה לקטוע את הידרדרות המצב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הוא בחר שלא לעשות כן ובמקום זאת לגרום להסלמה מהירה ואלימה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החברה בישראל הפכה במהלך השנים לאלימה יותר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איומים בוטים וקשים הפכו לחזון נפרץ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ידם של רבים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רבים מדי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אוחזת לעיתים תכופות בנשק קר או חם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כל אלו הן תופעות מדאיגות ומסוכנות שיש להוקיע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התנהגות מעין זו בה הורשע המערער מסכנת לא רק את המעורבים הישירים בויכוח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 אף עוברי אורח אקראיים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בראיה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הענקת משקל יתר לטענת הגנה בדבר רקע שמסביר את ביצוע העבירה – תסיט את בית המשפט מתפקידו להילחם נגד התופעה בנחישות הדרושה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השוו</w:t>
      </w:r>
      <w:r>
        <w:rPr>
          <w:rFonts w:cs="Calibri" w:ascii="Calibri" w:hAnsi="Calibri"/>
          <w:rtl w:val="true"/>
        </w:rPr>
        <w:t xml:space="preserve">: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2057/12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תבל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4.6.2012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b/>
          <w:b/>
          <w:bCs/>
          <w:rtl w:val="true"/>
        </w:rPr>
        <w:t>נדמה כי אין מנוס אלא לגזור על נאשם שמבצע מעשים כאלו עונש מאסר מוחשי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780/16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אנואר אבו דאהש שושה</w:t>
      </w:r>
      <w:r>
        <w:rPr>
          <w:rFonts w:ascii="Calibri" w:hAnsi="Calibri" w:cs="Calibri"/>
          <w:rtl w:val="true"/>
        </w:rPr>
        <w:t xml:space="preserve"> נגד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01.06.2016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נטען כי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לאחר ששני אחרים ירו לעבר המערער ושמונה מבני 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וגרמו לפציעתם של אביו ואחיו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 המערער לבית אחיהם של השניים כשהוא אוחז באקדח שאותו נשא ללא רישיון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 העת שב המתלונן לביתו עם אשתו ושלושת ילדיהם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שהמתלונן החנה את רכבו בחניית הבית והוא ובני משפחתו יצאו 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ירה המערער לעבר המתלונן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לפחות ממרחק קצר בכוונה לפגוע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ומשפחתו התחבאו מאחורי הרכב במטרה לחמוק מהקליעים – שפגעו אך ברכב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המערער הורשע בעבירות של חבלה בכוונה מחמירה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הובלה ונשיאה של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וחבלה במזיד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</w:t>
      </w:r>
      <w:r>
        <w:rPr>
          <w:rFonts w:ascii="Calibri" w:hAnsi="Calibri" w:cs="Calibri"/>
          <w:b/>
          <w:b/>
          <w:bCs/>
          <w:rtl w:val="true"/>
        </w:rPr>
        <w:t xml:space="preserve">מתחם עונש הנע בין </w:t>
      </w:r>
      <w:r>
        <w:rPr>
          <w:rFonts w:cs="Calibri" w:ascii="Calibri" w:hAnsi="Calibri"/>
          <w:b/>
          <w:bCs/>
        </w:rPr>
        <w:t>7-4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 על 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נסאר</w:t>
      </w:r>
      <w:r>
        <w:rPr>
          <w:rFonts w:ascii="Calibri" w:hAnsi="Calibri" w:cs="Calibri"/>
          <w:rtl w:val="true"/>
        </w:rPr>
        <w:t xml:space="preserve"> נגד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29.10.2014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המערער הורשע בעבירות של 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 קשר לפשע ונשיאת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הגיע עם אחרים כשהם רעולי פנים ובידיהם נשקים למקום בו עבד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 את הנשק לעבר המתלונן וניסה לירות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עקב מעצור בנשק הירי לא בוצע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נמלט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והמערער ניסה לירות עליו תוך כדי ריצה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ולמרות ששוטר רדף 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נדון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על חומרת העונש 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 TUR;Arial Unicode MS" w:hAnsi="Arial TUR;Arial Unicode MS" w:cs="Arial TUR;Arial Unicode MS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גם טענתו של המערער בדבר סטייה כאן ממדיניות הענישה דינה להידחות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 שציין בית המשפט קמא הנכבד העבירות אותן ביצע המערער הן 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הנסיבות בהן ביצע המערער את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 העובדה כי המערער ביצע את הירי בסמוך לבתי מגורים – הינן שיקול המטה את הכף להחמרת העונש שיש להשית על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דומה כי עונש המאסר בן שבע 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 על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הולם את חומרת המעשים שהורשע בהם</w:t>
      </w:r>
      <w:r>
        <w:rPr>
          <w:rFonts w:cs="Calibri" w:ascii="Calibri" w:hAnsi="Calibri"/>
          <w:rtl w:val="true"/>
        </w:rPr>
        <w:t xml:space="preserve">...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...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>."</w:t>
      </w:r>
    </w:p>
    <w:p>
      <w:pPr>
        <w:pStyle w:val="Normal"/>
        <w:autoSpaceDE w:val="false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2957/10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שחדה אלאטרש</w:t>
      </w:r>
      <w:r>
        <w:rPr>
          <w:rFonts w:ascii="Calibri" w:hAnsi="Calibri" w:cs="Calibri"/>
          <w:rtl w:val="true"/>
        </w:rPr>
        <w:t xml:space="preserve"> נגד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23.01.2012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ניהול 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של נשיאת 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במזיד 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 לשוטר במילוי תפקידו והעלבת עובד 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 משפחת המערער למשפחת המתלוננים היה קיים 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 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 שהמערער נסע ברכב עם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נושא על גופו אקדח 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 במתלוננים שנסעו מולו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 חסם את רכבם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 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כיוון את אקדחו לעבר רכב המתלוננים וירה לעברם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קליעים ממרחק של מטרים ספורים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הקליעים פגע ברכב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בית המשפט המחוזי גזר על המערער </w:t>
      </w:r>
      <w:r>
        <w:rPr>
          <w:rFonts w:cs="Calibri" w:ascii="Calibri" w:hAnsi="Calibri"/>
          <w:b/>
          <w:bCs/>
        </w:rPr>
        <w:t>5.5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בית המשפט העליון דחה את הערעור וקבע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20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נדמה כי בית המשפט קמא הטיל על המערער עונש שאינו חמור בהתחשב בחומרת המעשים ובנזק שעלול היה להיגרם לחיי אדם כתוצאה ממעשיו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והרי בכגון דא יתכן כפסע אל מול נטילת חיים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כפי שציין בית המשפט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 בהיעדר פגיעה בגוף כדי להפחית מחומרת התנהגותו של המערער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שירה בקור רוח מתוך תכנון מוקדם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 משפט זה חזר והדגיש את החשיבות בענישה מרתיעה בעבירות אלימות ואת הצורך להילחם ברעה חולה 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יפים לעניין זה דבריו של השופט 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על התנהגות מסוג זה יש להגיב ביד 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ואם לא כך ננהג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תשתלט האלימות על כל תחומי חיינו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 המשפט התריעו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ולאחרונה אף ביתר שאת כנגד נגע האלימות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הגיעה השעה לעשות 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ובראש וראשונה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להבהיר בדרך הענישה לעבריינים בכוח 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כי המענה לאלימות תהיה כליאה ממושכת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ולתקופות מאסר שעלולות להיות משמעותיות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אין כוונתי לומר שיש לזנוח כליל שיקולים של שיקום העבריין 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אולם המציאות בה אנו חיים מציאות חירום 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כן שיקולים מסוג זה הינם שניים במעלה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וקודמים להם שיקולי גמול והרתעה</w:t>
      </w:r>
      <w:r>
        <w:rPr>
          <w:rFonts w:cs="Calibri" w:ascii="Calibri" w:hAnsi="Calibri"/>
          <w:rtl w:val="true"/>
        </w:rPr>
        <w:t>" (</w:t>
      </w:r>
      <w:hyperlink r:id="rId23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3562/05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פלוני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])."</w:t>
      </w:r>
    </w:p>
    <w:p>
      <w:pPr>
        <w:pStyle w:val="Normal"/>
        <w:autoSpaceDE w:val="false"/>
        <w:spacing w:lineRule="auto" w:line="360" w:before="0" w:after="200"/>
        <w:ind w:start="7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6022/10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שלעאטה</w:t>
      </w:r>
      <w:r>
        <w:rPr>
          <w:rFonts w:ascii="Calibri" w:hAnsi="Calibri" w:cs="Calibri"/>
          <w:rtl w:val="true"/>
        </w:rPr>
        <w:t xml:space="preserve"> נגד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28.12.2011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 המערער בעבירות של החזקת ונשיאת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במזיד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 באזור מגורים והתנהגות פסולה במקום 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החזיק אקדח שלא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משלא נענו חיזוריו לקטינה אותה רצה לשאת לאשה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 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בעת שחלף לידו רכב ובו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נוסעים ביניהם אחיה של הקטינה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 המערער לכיוון האוויר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בטבורה של 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וזמן קצר לאחר מכן ירה לעבר רכב ופגע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נדון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53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מהם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 שהופעל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autoSpaceDE w:val="false"/>
        <w:spacing w:lineRule="auto" w:line="360" w:before="0" w:after="200"/>
        <w:ind w:start="7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העליון דחה את הערעור וקבע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20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המערער הורשע בעבירות שמעצם טיבן כרוך בהן סיכון לחיי 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יש להחמיר עם מי שעושה שימוש בנשק חם </w:t>
      </w:r>
      <w:r>
        <w:rPr>
          <w:rFonts w:cs="Calibri" w:ascii="Calibri" w:hAnsi="Calibri"/>
          <w:rtl w:val="true"/>
        </w:rPr>
        <w:t>(</w:t>
      </w:r>
      <w:hyperlink r:id="rId25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3573/08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עוואדרה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 פורסם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13.4.2010</w:t>
      </w:r>
      <w:r>
        <w:rPr>
          <w:rFonts w:cs="Calibri" w:ascii="Calibri" w:hAnsi="Calibri"/>
          <w:rtl w:val="true"/>
        </w:rPr>
        <w:t xml:space="preserve">)), </w:t>
      </w:r>
      <w:r>
        <w:rPr>
          <w:rFonts w:ascii="Calibri" w:hAnsi="Calibri" w:cs="Calibri"/>
          <w:rtl w:val="true"/>
        </w:rPr>
        <w:t>ובמיוחד כאשר השימוש בנשק חם נעשה 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שעלול לגרום לפגיעה בעוברי אורח תמימים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לכך יש להוסיף כי לחובת המערער עבר פלילי הכולל הרשעה קודמת משנת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 של סיכון חיי אדם בנתיב תחבורה בירי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והשתתפות בהתפרעות לפי </w:t>
      </w:r>
      <w:hyperlink r:id="rId26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152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וכן הרשעה קודמת משנת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 של התנהגות פרועה במקום 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לזקוף לחובתו של המערער את העובדה שלא מסר למשטרה עד עצם היום הזה את האקדח בו ירה</w:t>
      </w:r>
      <w:r>
        <w:rPr>
          <w:rFonts w:cs="Calibri" w:ascii="Calibri" w:hAnsi="Calibri"/>
          <w:rtl w:val="true"/>
        </w:rPr>
        <w:t>. "</w:t>
      </w:r>
    </w:p>
    <w:p>
      <w:pPr>
        <w:pStyle w:val="Normal"/>
        <w:tabs>
          <w:tab w:val="clear" w:pos="720"/>
          <w:tab w:val="left" w:pos="0" w:leader="none"/>
          <w:tab w:val="left" w:pos="800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  <w:lang w:eastAsia="he-IL"/>
        </w:rPr>
      </w:pPr>
      <w:r>
        <w:rPr>
          <w:rFonts w:cs="Arial TUR;Arial Unicode MS" w:ascii="Arial TUR;Arial Unicode MS" w:hAnsi="Arial TUR;Arial Unicode MS"/>
          <w:rtl w:val="true"/>
          <w:lang w:eastAsia="he-IL"/>
        </w:rPr>
        <w:tab/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נסיבות הקשורות בביצוע העבירה –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למעשי הנאשם קדם תכנון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הגעת הנאשם אל מקום עבודת המתלונן לא היתה מקרית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הגיע למקום כדי להגיב על הפגיעה שדברי המתלונן גרמו לו והוא הצטייד 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הדברים שאמר הנאשם עובר להגעתו אל המתלונן –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אני הולך להרוג את המתלונן</w:t>
      </w:r>
      <w:r>
        <w:rPr>
          <w:rFonts w:cs="Calibri" w:ascii="Calibri" w:hAnsi="Calibri"/>
          <w:rtl w:val="true"/>
        </w:rPr>
        <w:t>" "</w:t>
      </w:r>
      <w:r>
        <w:rPr>
          <w:rFonts w:ascii="Calibri" w:hAnsi="Calibri" w:cs="Calibri"/>
          <w:rtl w:val="true"/>
        </w:rPr>
        <w:t>להרוג אותו במכות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לשבור לו את כל העצמות</w:t>
      </w:r>
      <w:r>
        <w:rPr>
          <w:rFonts w:cs="Calibri" w:ascii="Calibri" w:hAnsi="Calibri"/>
          <w:rtl w:val="true"/>
        </w:rPr>
        <w:t xml:space="preserve">"- </w:t>
      </w:r>
      <w:r>
        <w:rPr>
          <w:rFonts w:ascii="Calibri" w:hAnsi="Calibri" w:cs="Calibri"/>
          <w:rtl w:val="true"/>
        </w:rPr>
        <w:t>הזמנת המתלונן אל מגרש החניה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והירי שלו כלפי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 על מגמת הגעתו ומטרתה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הוא שהחזיק באקדח והוא שירה בו לעבר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הגיע לזירה רכוב על קטנוע עם אדם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לא נטען כי האדם הנוסף השתתף בצורה כלשהי במעשי העבירה או שהיה לו קשר להם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למרבה המזל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 הצליח להימלט מהנאשם ולחמוק מהכדורים שהוא ירה 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האירוע השפיע על המתלונן קשות והותיר בו חותם נפשי 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נאלץ להפסיק לעבוד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סובל מחרדות ומתסמיני פוסט טראומה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ונזקק לטיפול פסיכיאטרי ורגשי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הנזק שהנאשם עלול היה לגרום למתלונן הוא מהחמורים 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פגיעת כדור אקדח בגוף אדם עלולה לגרום לנזק 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נכות ואף מוות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ind w:hanging="36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הרקע למעשי הנאשם הוא היפגעותו מסירוב המתלונן למכור לקטין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סיגריות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ומדברים שהמתלונן אמר לקטין הנוגעים 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אפשר להגדיר את אירוע הרקע כמינורי וסתמי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 מצדיק בשום פנים ואופן כל תגובה אלימה כל שכן חמורה שכזו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 לצורך לקיים יחס הולם בין חומרת מעשי העבירות בנסיבותיהם ומידת אשמו של הנאשם ובין העונש שיוטל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ובהתחשב בערכים החברתיים שנפגעו מביצוע 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במידת הפגיעה 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במדיניות הענישה 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ובנסיבות הקשורות בביצוע 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אני קובע כי מתחם העונש ההולם למעשי הנאשם הוא בין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 –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80" w:start="78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לנאשם הרשעות קודמות בעבירות של החזקת סכין שלא כדין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שתי עבירות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הטרדה באמצעות מתקן בזק ואיומים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ריצה עונש מאסר בן חמישה 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80" w:start="78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בגזירת העונש המתאים לנאשם אני מביא בחשבון את הודאת הנאשם – הגם שהיא באה לאחר שהמתלונן מסר את עדותו בבית המשפט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גילו הצעיר יחסית של 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נסיבות חייו המורכבות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העובדה שהוא אב לתינוקת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מצבה של בת הזוג שלו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הפגיעה הצפויה לנאשם ולמשפחתו מהמאסר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סיכויי שיקומו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העובדה שהוא שוהה 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שתנאיו קשים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מזה כשנה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ואת הסדר הטיעון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במסגרתו הגבילה המאשימה את עצמה לעתור להטיל על הנאשם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 המבחן התרשם שהנאשם מתקשה להתמודד עם סיטואציות בהן הוא חווה פגיעה בכבודו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במסגרתן הוא עלול להגיב באופן לא מותאם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שימוש בנורמות עברייניות ומאיימות ומבלי לשקול השלכות מעשיו והפגיעה העלולה להיגרם 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שהוא בעל מאפייני התנהגות אימפולסיביים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תוקפניים ושוליים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 צורך להרתיע את הנאשם מפני חזרה על מעשי עבירה מהסוג שהוא ביצע כאן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רקע נפוצות מעשי האלימות בארץ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 תוך שימוש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רקע הפגיעות של מעשים כאלה בקורבנותיהם הישירים ובחברה בכללה והאינטרס הציבורי המובהק בהפחתת מעשים כאלה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מוצא כי יש צורך בהרתעת הרבים מפני ביצוע עבירה מהסוג שביצע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אולם אחד מן השיקולים אשר ניתן לשקול בעת גזירת הדין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שאין בכוחו להביא לחריגה ממתחם הענישה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הריהו רלוונטי לאירוע נושא דיוננו – הצורך בהרתעת 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האלימות הגואה במקומותינו אינה גזירת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גורל ולא כורח המציאות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 צורך לשנות את המאזן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במקום שאזרחים ישרים תמימי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דרך יִרְאו ויִרָאו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יחששו לבטחונם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יהיו אלה העבריינים האלימים – בכוח ובפועל – שאימת הדין תיפול עליהם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והם יֵרתעו מפני שימוש בנשק קר וחם לשם חיסול חשבונות בעשיית דין 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שינוי המאזן – הסבת יראת האנשים התמימים לאימת אנשי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המדון – צריך להעשות גם באכיפה ובענישה קשה</w:t>
      </w:r>
      <w:r>
        <w:rPr>
          <w:rFonts w:cs="Calibri" w:ascii="Calibri" w:hAnsi="Calibri"/>
          <w:rtl w:val="true"/>
        </w:rPr>
        <w:t xml:space="preserve">."- </w:t>
      </w:r>
      <w:hyperlink r:id="rId2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8641/12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מחמד סעד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05.08.13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בסופו של דבר על העונש להלום את מעשי הנאשם בנסיבותיהם ואת מידת אשמו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 הנאשם בנסיבותיהם חמורים ומסוכנים ומידת אשמו רבה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 כל האמור אני דן את הנאשם לעונשים הבאים</w:t>
      </w:r>
      <w:r>
        <w:rPr>
          <w:rFonts w:cs="Calibri" w:ascii="Calibri" w:hAnsi="Calibri"/>
          <w:rtl w:val="true"/>
        </w:rPr>
        <w:t>:</w:t>
        <w:tab/>
      </w:r>
    </w:p>
    <w:p>
      <w:pPr>
        <w:pStyle w:val="Normal"/>
        <w:spacing w:before="0" w:after="20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ארבע וחצי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 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יעבור  עבירת נשק או 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המסווגת כפשע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אני מחייב את הנאשם לשלם למתלונן פיצוי בסך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₪. </w:t>
      </w:r>
    </w:p>
    <w:p>
      <w:pPr>
        <w:pStyle w:val="Normal"/>
        <w:spacing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 בטיב העבירות שביצע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במצבו האישי והכלכלי של הנאשם</w:t>
      </w:r>
      <w:r>
        <w:rPr>
          <w:rFonts w:cs="Calibri" w:ascii="Calibri" w:hAnsi="Calibri"/>
          <w:rtl w:val="true"/>
        </w:rPr>
        <w:t xml:space="preserve">, </w:t>
      </w:r>
    </w:p>
    <w:p>
      <w:pPr>
        <w:pStyle w:val="Normal"/>
        <w:spacing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בסכום הפיצוי בו הוא חוייב ובתקופת המאסר שנגזרה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אינני מוצא מקום להטיל עליו</w:t>
      </w:r>
    </w:p>
    <w:p>
      <w:pPr>
        <w:pStyle w:val="Normal"/>
        <w:spacing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 המבחן סבר כי חשוב ששלטונות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יבחנו התאמת הנאשם לטיפול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לי נראה שהנאשם זקוק להתערבות טיפולית וכי הוא עשוי להיתרם ממנה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אלה מתבקשים גורמי הטיפול 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לבחון שילוב הנאשם בטיפול המתאים לצרכיו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 xml:space="preserve">זכות ערעור בתוך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 מהיום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אוגוסט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Header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55670-06-17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ורג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שבו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52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731188" TargetMode="External"/><Relationship Id="rId14" Type="http://schemas.openxmlformats.org/officeDocument/2006/relationships/hyperlink" Target="http://www.nevo.co.il/case/20450586" TargetMode="External"/><Relationship Id="rId15" Type="http://schemas.openxmlformats.org/officeDocument/2006/relationships/hyperlink" Target="http://www.nevo.co.il/case/5753941" TargetMode="External"/><Relationship Id="rId16" Type="http://schemas.openxmlformats.org/officeDocument/2006/relationships/hyperlink" Target="http://www.nevo.co.il/case/11206426" TargetMode="External"/><Relationship Id="rId17" Type="http://schemas.openxmlformats.org/officeDocument/2006/relationships/hyperlink" Target="http://www.nevo.co.il/case/20291305" TargetMode="External"/><Relationship Id="rId18" Type="http://schemas.openxmlformats.org/officeDocument/2006/relationships/hyperlink" Target="http://www.nevo.co.il/case/6141758" TargetMode="External"/><Relationship Id="rId19" Type="http://schemas.openxmlformats.org/officeDocument/2006/relationships/hyperlink" Target="http://www.nevo.co.il/case/5578618" TargetMode="External"/><Relationship Id="rId20" Type="http://schemas.openxmlformats.org/officeDocument/2006/relationships/hyperlink" Target="http://www.nevo.co.il/case/21472824" TargetMode="External"/><Relationship Id="rId21" Type="http://schemas.openxmlformats.org/officeDocument/2006/relationships/hyperlink" Target="http://www.nevo.co.il/case/5172636" TargetMode="External"/><Relationship Id="rId22" Type="http://schemas.openxmlformats.org/officeDocument/2006/relationships/hyperlink" Target="http://www.nevo.co.il/case/5866847" TargetMode="External"/><Relationship Id="rId23" Type="http://schemas.openxmlformats.org/officeDocument/2006/relationships/hyperlink" Target="http://www.nevo.co.il/case/6214440" TargetMode="External"/><Relationship Id="rId24" Type="http://schemas.openxmlformats.org/officeDocument/2006/relationships/hyperlink" Target="http://www.nevo.co.il/case/6045465" TargetMode="External"/><Relationship Id="rId25" Type="http://schemas.openxmlformats.org/officeDocument/2006/relationships/hyperlink" Target="http://www.nevo.co.il/case/5699762" TargetMode="External"/><Relationship Id="rId26" Type="http://schemas.openxmlformats.org/officeDocument/2006/relationships/hyperlink" Target="http://www.nevo.co.il/law/70301/152" TargetMode="External"/><Relationship Id="rId27" Type="http://schemas.openxmlformats.org/officeDocument/2006/relationships/hyperlink" Target="http://www.nevo.co.il/case/5573417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2019-03-24T14:22:00Z</dcterms:created>
  <dc:creator> </dc:creator>
  <dc:description/>
  <cp:keywords/>
  <dc:language>en-IL</dc:language>
  <cp:lastModifiedBy>run</cp:lastModifiedBy>
  <dcterms:modified xsi:type="dcterms:W3CDTF">2019-03-24T14:22:00Z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ג'ורג' שבו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5731188;20450586;5753941;11206426;20291305;6141758;5578618;21472824;5172636;5866847;6214440;6045465;5699762;5573417</vt:lpwstr>
  </property>
  <property fmtid="{D5CDD505-2E9C-101B-9397-08002B2CF9AE}" pid="9" name="CITY">
    <vt:lpwstr>ב"ש</vt:lpwstr>
  </property>
  <property fmtid="{D5CDD505-2E9C-101B-9397-08002B2CF9AE}" pid="10" name="DATE">
    <vt:lpwstr>20180830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70301/144.a:2;329.a.2:2;152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55670</vt:lpwstr>
  </property>
  <property fmtid="{D5CDD505-2E9C-101B-9397-08002B2CF9AE}" pid="22" name="NEWPARTB">
    <vt:lpwstr>06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390020180830</vt:lpwstr>
  </property>
  <property fmtid="{D5CDD505-2E9C-101B-9397-08002B2CF9AE}" pid="34" name="TYPE_N_DATE">
    <vt:lpwstr>39020180830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