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5578-08-19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אבראהים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רונית בש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גולן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אבראהים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245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21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</w:rPr>
          <w:t>22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</w:rPr>
          <w:t>62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</w:rPr>
          <w:t>62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8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ascii="Miriam" w:hAnsi="Miriam" w:cs="Miriam"/>
          <w:u w:val="single"/>
          <w:rtl w:val="true"/>
        </w:rPr>
        <w:t>כתב האישום 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כתב האישום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24/07/19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סעיד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סנוור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רימון ההלם</w:t>
      </w:r>
      <w:r>
        <w:rPr>
          <w:rFonts w:cs="Miriam" w:ascii="Miriam" w:hAnsi="Miriam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רולבורד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מתסקיר שירות המבחן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יחד עם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המשפחה מתוארת כנורמטיבית ותומכת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מדבריו של הנאשם בפני שירות המבחן ומדו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סוציאלי מטעם הלשכה לשירותים חברתיים שהוצג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מצבה הכלכלי של המשפחה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השתמט משירותו הצבאי ובגין כך נשפט וריצה מאסר של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בכלא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לעבירה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שירות המבחן כי הנאשם לקח אחריות חלקית ופורמלית לביצועה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ידע להסביר את המניע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לא שקל לעומק את מעשיו אולם היום מבין את משמעותם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צער וחרטה על התנהגותו ועל הנטל הכבד עמו הוריו מתמודדים בעקבות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מתקשה לראות את התנהגותו הפוגענית והבעת החרטה שלו ממוקדת בתחושת קורבנות ופגיעות ופחות ביכולת לחיבור לפוטנציאל הפגיעה בחברה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התרשם שירות המבחן מיכולתו הנמוכה של הנאשם לערוך שיקול דעת במצבים מעוררי לחץ ומתקשורת שמאופיינית  בהסתרה ובערפול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גילה חוסר מוטיבציה לביצוע שינוי ושלל נזקקות טיפולית בכל תחום שהוא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עמדותיו של הנאשם אינן פרו חברתיות באופן מובהק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שסבר כי שליחתו של הנאשם למאסר מאחורי סורג ובריח עלולה להגדיל את סיכוייו להתחבר לעולם העברייני וזאת נוכח מאפייני אישיותו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בשיחה טלפונית שקיים שירות המבחן בעת משבר הקורונה ביטא הנאשם צורך מילולי בשילובו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הצורך בטיפול שביטא הנאשם מונע ממוטיבציה חיצונית בלבד ומאימת הדין ולא מתוך רצון טיפולי או ממוכנות לעריכת תהליך של התבוננות ושינוי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שרות המבחן כי מעצרו של הנאשם וההליך המשפטי היוו גורם משמעותי ומרתיע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שקילת מכלול גורמי הסיכוי אל מול גורמי הסיכון מעריך שירות המבחן כי גורמי הסיכון להישנות עבירה עולים על גורמי הסיכוי לשיקום ולפיכך  נמנע מלבוא בהמלצה טיפולית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את טיעוניו לעונש בכתב בתיק זה והוסיף  וטען  בקצרה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 בדיון בפניי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עבירה של החזקת נשק הינה 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זמינותו של נשק חם ורב עוצמה והיותו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הוסיף בהתייחס לרימון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אומנם אין לו פוטנציאל להמית כי אם פוטנציאל פציעה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בכך כדי להפחית מחומרת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עוד 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הערכים החברתיים שנפגעו  בגין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הגנה על 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בטחון הציבור ושלומו ושלטון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הפסיקה קבעה כי יש לתת מעמד של בכורה בעבירות מסוג זה לאינטרס הציבורי ולהרתעת הפרט על פני הנסיבות האישיות של העבריין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נטען עוד כי קדם תכנון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חלקו של הנאשם בביצועה הוא בלעדי וכן כי לא ניתן להתעלם מהפגיעה בתחושת הביטחון של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שנשק מובל ברחובות העיר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המאשימה פסיקה להמחשת עמדתה לעונש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ובסיכומו של דבר נטען כי מתחם העונש ההולם בתיק זה 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שניתן לרצותם בעבודות שירות לבין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מבקשת המאשימה להטיל על הנאשם שעברו כולל אך הרשעה קודמת אחת בלבד  בעבירה של העדר מן השרות שלא 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המצוי ברף התחתון של מתחם העונש ההולם המוצע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רכיב ענישה של מאסר  מותנה ארוך  ומרתיע וקנס כספי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gency FB" w:hAnsi="Agency FB" w:cs="Agency FB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הסנגורית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להתחשב לקולה בכך שהנאשם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עמוקה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 בזמן שיפוטי יקר ונמצא מתאים לבצע עבודות שירות 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הממונה על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עסקינן בבחור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הפלילי כמעט נקי ואשר גדל במשפחה נורמטיבית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בן דודו של הנאשם קיבל לאחרונה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הרמטכ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תעודת הצטיינות לאחר שנפצע בשירותו הצבאי במהלך פיגוע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משפחת הנאשם מגנה את התנהלותו על פי כתב האישום ואחיו התחייב לשקמו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הסנגורית הוסיפה 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עזב את ספסל הלימודים לאחר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לטובת פרנסת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הוסיפה הסנגורית וטענה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כי הנאשם קיבל תעודת הצטיינות לאחר שהשיב סכום כסף שמצא בכספומט </w:t>
      </w:r>
      <w:r>
        <w:rPr>
          <w:rFonts w:cs="Agency FB" w:ascii="Agency FB" w:hAnsi="Agency FB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Agency FB" w:ascii="Agency FB" w:hAnsi="Agency FB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gency FB" w:hAnsi="Agency FB" w:cs="Agency FB"/>
        </w:rPr>
      </w:pPr>
      <w:r>
        <w:rPr>
          <w:rFonts w:cs="Agency FB" w:ascii="Agency FB" w:hAnsi="Agency FB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gency FB" w:ascii="Agency FB" w:hAnsi="Agency FB"/>
        </w:rPr>
        <w:t>9</w:t>
      </w:r>
      <w:r>
        <w:rPr>
          <w:rFonts w:cs="Agency FB" w:ascii="Agency FB" w:hAnsi="Agency FB"/>
          <w:rtl w:val="true"/>
        </w:rPr>
        <w:t xml:space="preserve">. </w:t>
        <w:tab/>
      </w:r>
      <w:r>
        <w:rPr>
          <w:rFonts w:ascii="Agency FB" w:hAnsi="Agency FB" w:cs="Agency FB"/>
          <w:rtl w:val="true"/>
        </w:rPr>
        <w:t xml:space="preserve">הסנגורית ביקשה להתייחס לקולה גם לכך שהנאשם היה נתון במעצר במשך תקופה משמעותית </w:t>
      </w:r>
      <w:r>
        <w:rPr>
          <w:rFonts w:cs="Agency FB" w:ascii="Agency FB" w:hAnsi="Agency FB"/>
          <w:rtl w:val="true"/>
        </w:rPr>
        <w:t>(</w:t>
      </w:r>
      <w:r>
        <w:rPr>
          <w:rFonts w:ascii="Agency FB" w:hAnsi="Agency FB" w:cs="Agency FB"/>
          <w:rtl w:val="true"/>
        </w:rPr>
        <w:t xml:space="preserve">מיום </w:t>
      </w:r>
      <w:r>
        <w:rPr>
          <w:rFonts w:cs="Agency FB" w:ascii="Agency FB" w:hAnsi="Agency FB"/>
        </w:rPr>
        <w:t>24.7.19</w:t>
      </w:r>
      <w:r>
        <w:rPr>
          <w:rFonts w:cs="Agency FB" w:ascii="Agency FB" w:hAnsi="Agency FB"/>
          <w:rtl w:val="true"/>
        </w:rPr>
        <w:t xml:space="preserve"> </w:t>
      </w:r>
      <w:r>
        <w:rPr>
          <w:rFonts w:ascii="Agency FB" w:hAnsi="Agency FB" w:cs="Agency FB"/>
          <w:rtl w:val="true"/>
        </w:rPr>
        <w:t xml:space="preserve">עד ליום </w:t>
      </w:r>
      <w:r>
        <w:rPr>
          <w:rFonts w:cs="Agency FB" w:ascii="Agency FB" w:hAnsi="Agency FB"/>
        </w:rPr>
        <w:t>15.9.19</w:t>
      </w:r>
      <w:r>
        <w:rPr>
          <w:rFonts w:cs="Agency FB" w:ascii="Agency FB" w:hAnsi="Agency FB"/>
          <w:rtl w:val="true"/>
        </w:rPr>
        <w:t xml:space="preserve">) </w:t>
      </w:r>
      <w:r>
        <w:rPr>
          <w:rFonts w:ascii="Agency FB" w:hAnsi="Agency FB" w:cs="Agency FB"/>
          <w:rtl w:val="true"/>
        </w:rPr>
        <w:t>ולאחר מכן</w:t>
      </w:r>
      <w:r>
        <w:rPr>
          <w:rFonts w:cs="Agency FB" w:ascii="Agency FB" w:hAnsi="Agency FB"/>
          <w:rtl w:val="true"/>
        </w:rPr>
        <w:t xml:space="preserve">, </w:t>
      </w:r>
      <w:r>
        <w:rPr>
          <w:rFonts w:ascii="Agency FB" w:hAnsi="Agency FB" w:cs="Agency FB"/>
          <w:rtl w:val="true"/>
        </w:rPr>
        <w:t>במשך תקופה נוספת של כחצי שנה  היה נתון במעצר באיזוק אלקטרוני</w:t>
      </w:r>
      <w:r>
        <w:rPr>
          <w:rFonts w:cs="Agency FB" w:ascii="Agency FB" w:hAnsi="Agency FB"/>
          <w:rtl w:val="true"/>
        </w:rPr>
        <w:t xml:space="preserve">. </w:t>
      </w:r>
      <w:r>
        <w:rPr>
          <w:rFonts w:ascii="Agency FB" w:hAnsi="Agency FB" w:cs="Agency FB"/>
          <w:rtl w:val="true"/>
        </w:rPr>
        <w:t>בנקודה זו נטען כי הנאשם עומד  בתנאי שחרורו ואינו מפר אותם</w:t>
      </w:r>
      <w:r>
        <w:rPr>
          <w:rFonts w:cs="Agency FB" w:ascii="Agency FB" w:hAnsi="Agency FB"/>
          <w:rtl w:val="true"/>
        </w:rPr>
        <w:t xml:space="preserve">, </w:t>
      </w:r>
      <w:r>
        <w:rPr>
          <w:rFonts w:ascii="Agency FB" w:hAnsi="Agency FB" w:cs="Agency FB"/>
          <w:rtl w:val="true"/>
        </w:rPr>
        <w:t>דבר המלמד כי ניתן לתת בו אמון</w:t>
      </w:r>
      <w:r>
        <w:rPr>
          <w:rFonts w:cs="Agency FB" w:ascii="Agency FB" w:hAnsi="Agency FB"/>
          <w:rtl w:val="true"/>
        </w:rPr>
        <w:t xml:space="preserve">. </w:t>
      </w:r>
      <w:r>
        <w:rPr>
          <w:rFonts w:ascii="Agency FB" w:hAnsi="Agency FB" w:cs="Agency FB"/>
          <w:rtl w:val="true"/>
        </w:rPr>
        <w:t>כן נטען כי שליחת הנאשם למאסר מאחורי סורג ובריח עלולה להביא לשילובו במעגל הפשיעה</w:t>
      </w:r>
      <w:r>
        <w:rPr>
          <w:rFonts w:cs="Agency FB" w:ascii="Agency FB" w:hAnsi="Agency FB"/>
          <w:rtl w:val="true"/>
        </w:rPr>
        <w:t xml:space="preserve">, </w:t>
      </w:r>
      <w:r>
        <w:rPr>
          <w:rFonts w:ascii="Agency FB" w:hAnsi="Agency FB" w:cs="Agency FB"/>
          <w:rtl w:val="true"/>
        </w:rPr>
        <w:t xml:space="preserve">וכי לנאשם </w:t>
      </w:r>
      <w:r>
        <w:rPr>
          <w:rFonts w:cs="Agency FB" w:ascii="Agency FB" w:hAnsi="Agency FB"/>
          <w:rtl w:val="true"/>
        </w:rPr>
        <w:t>"</w:t>
      </w:r>
      <w:r>
        <w:rPr>
          <w:rFonts w:ascii="Agency FB" w:hAnsi="Agency FB" w:cs="Agency FB"/>
          <w:rtl w:val="true"/>
        </w:rPr>
        <w:t>בעיה בכישוריו השכליים</w:t>
      </w:r>
      <w:r>
        <w:rPr>
          <w:rFonts w:cs="Agency FB" w:ascii="Agency FB" w:hAnsi="Agency FB"/>
          <w:rtl w:val="true"/>
        </w:rPr>
        <w:t xml:space="preserve">", </w:t>
      </w:r>
      <w:r>
        <w:rPr>
          <w:rFonts w:ascii="Agency FB" w:hAnsi="Agency FB" w:cs="Agency FB"/>
          <w:rtl w:val="true"/>
        </w:rPr>
        <w:t>כפי שניתן ללמוד מהתסקיר</w:t>
      </w:r>
      <w:r>
        <w:rPr>
          <w:rFonts w:cs="Agency FB" w:ascii="Agency FB" w:hAnsi="Agency FB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שהתייחסה הסנגורית  הן לפסיקה שהגישה המאשימה והן לפסיקה מטעם ההגנה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נטען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המאשימה עותרת למתחם עונש הולם גבוה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ניתן להסתפק בתיק זה בעונש של חודשיים עד שלושה חודשי מאסר בפועל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להלן  דברי הנאשם בבית המשפט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אני מצטער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מבקש הזדמנות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זו פעם אחרונה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 ). </w:t>
      </w:r>
      <w:hyperlink r:id="rId2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23/3/13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9/5/07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11/2/15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לעבר מרפסת ביתו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נקבע מתחם עונש הולם הנע בין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 של דבר הושת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היה בעל עבר פלילי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מאסר בפועל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כי נזקפו לטובת הנאשם הודאתו ונסיבות אישיות חריגות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8845/15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17/11/16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במערער שהשליך רימון הלם לעבר בית וזה התפוצץ סמוך לשני בני 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נגרם 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מתחם עונש הולם הנע בין </w:t>
      </w:r>
      <w:r>
        <w:rPr>
          <w:rFonts w:cs="Calibri" w:ascii="Calibri" w:hAnsi="Calibri"/>
        </w:rPr>
        <w:t>3-1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 מערער היה בחור צעיר שניהל את משפטו והיה בעל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לא 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ערעורו על חומרת העונש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מאסר בפועל בן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20/1/16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לתוך חנות בה עבד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שם נקבע מתחם עונש הולם הנע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והוטל עונש של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הדעת להודאת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להיותו בחור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להסכם סולחה ולכך שעברו של הנאשם לא היה מכביד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10476-12-17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Miriam" w:hAnsi="Miriam" w:cs="Miriam"/>
          <w:rtl w:val="true"/>
        </w:rPr>
        <w:t>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מחאג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 xml:space="preserve">נה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14/7/19</w:t>
      </w:r>
      <w:r>
        <w:rPr>
          <w:rFonts w:cs="David" w:ascii="David" w:hAnsi="David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השתתי עונש שעיקרו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בעבודות שרות על נאשם 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בעל עבר נקי שהורשע מכוח הודאתו בביצוע עבירות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rtl w:val="true"/>
          </w:rPr>
          <w:t>תקנה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</w:rPr>
          <w:t>62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8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rtl w:val="true"/>
          </w:rPr>
          <w:t>תקנה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21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rtl w:val="true"/>
          </w:rPr>
          <w:t>וסעיפים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62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2">
        <w:r>
          <w:rPr>
            <w:rStyle w:val="Hyperlink"/>
            <w:color w:val="0000FF"/>
          </w:rPr>
          <w:t>38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78" w:end="0"/>
        <w:jc w:val="both"/>
        <w:rPr/>
      </w:pP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11134-01-19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אסדי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21/11/19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דנתי למאסר בפועל בעבודות שרות לתקופה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נאשם בעל עבר פלילי נקי שהורשע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8"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 </w:t>
        </w:r>
        <w:r>
          <w:rPr>
            <w:rStyle w:val="Hyperlink"/>
            <w:color w:val="0000FF"/>
          </w:rPr>
          <w:t>245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בכספומט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4/8/20</w:t>
      </w:r>
      <w:r>
        <w:rPr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בן גיגי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bookmarkEnd w:id="9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שחף אולמן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gency FB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5578-08-19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גולן אבראהים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7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5.a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4274/21.c" TargetMode="External"/><Relationship Id="rId14" Type="http://schemas.openxmlformats.org/officeDocument/2006/relationships/hyperlink" Target="http://www.nevo.co.il/law/74274/22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38.2" TargetMode="External"/><Relationship Id="rId17" Type="http://schemas.openxmlformats.org/officeDocument/2006/relationships/hyperlink" Target="http://www.nevo.co.il/law/5227/62.2" TargetMode="External"/><Relationship Id="rId18" Type="http://schemas.openxmlformats.org/officeDocument/2006/relationships/hyperlink" Target="http://www.nevo.co.il/law/5227/62.8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6243627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0443017" TargetMode="External"/><Relationship Id="rId29" Type="http://schemas.openxmlformats.org/officeDocument/2006/relationships/hyperlink" Target="http://www.nevo.co.il/case/18105668" TargetMode="External"/><Relationship Id="rId30" Type="http://schemas.openxmlformats.org/officeDocument/2006/relationships/hyperlink" Target="http://www.nevo.co.il/case/20817889" TargetMode="External"/><Relationship Id="rId31" Type="http://schemas.openxmlformats.org/officeDocument/2006/relationships/hyperlink" Target="http://www.nevo.co.il/case/20590970" TargetMode="External"/><Relationship Id="rId32" Type="http://schemas.openxmlformats.org/officeDocument/2006/relationships/hyperlink" Target="http://www.nevo.co.il/case/23392658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4274/22.a" TargetMode="External"/><Relationship Id="rId37" Type="http://schemas.openxmlformats.org/officeDocument/2006/relationships/hyperlink" Target="http://www.nevo.co.il/law/74274" TargetMode="External"/><Relationship Id="rId38" Type="http://schemas.openxmlformats.org/officeDocument/2006/relationships/hyperlink" Target="http://www.nevo.co.il/law/5227/62.8" TargetMode="External"/><Relationship Id="rId39" Type="http://schemas.openxmlformats.org/officeDocument/2006/relationships/hyperlink" Target="http://www.nevo.co.il/law/5227" TargetMode="External"/><Relationship Id="rId40" Type="http://schemas.openxmlformats.org/officeDocument/2006/relationships/hyperlink" Target="http://www.nevo.co.il/law/74274/21.c" TargetMode="External"/><Relationship Id="rId41" Type="http://schemas.openxmlformats.org/officeDocument/2006/relationships/hyperlink" Target="http://www.nevo.co.il/law/5227/62.2" TargetMode="External"/><Relationship Id="rId42" Type="http://schemas.openxmlformats.org/officeDocument/2006/relationships/hyperlink" Target="http://www.nevo.co.il/law/5227/38.2" TargetMode="External"/><Relationship Id="rId43" Type="http://schemas.openxmlformats.org/officeDocument/2006/relationships/hyperlink" Target="http://www.nevo.co.il/case/25292360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75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/245.a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2020-06-14T12:26:00Z</dcterms:created>
  <dc:creator> </dc:creator>
  <dc:description/>
  <cp:keywords/>
  <dc:language>en-IL</dc:language>
  <cp:lastModifiedBy>h10</cp:lastModifiedBy>
  <dcterms:modified xsi:type="dcterms:W3CDTF">2020-06-14T12:26:00Z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גולן אבראהים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ProcID=174&amp;PartA=7124&amp;PartC=06</vt:lpwstr>
  </property>
  <property fmtid="{D5CDD505-2E9C-101B-9397-08002B2CF9AE}" pid="9" name="CASESLISTTMP1">
    <vt:lpwstr>6243627;10443017;18105668;20817889;20590970;23392658;25292360</vt:lpwstr>
  </property>
  <property fmtid="{D5CDD505-2E9C-101B-9397-08002B2CF9AE}" pid="10" name="CITY">
    <vt:lpwstr>חי'</vt:lpwstr>
  </property>
  <property fmtid="{D5CDD505-2E9C-101B-9397-08002B2CF9AE}" pid="11" name="DATE">
    <vt:lpwstr>20200608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רונית בש</vt:lpwstr>
  </property>
  <property fmtid="{D5CDD505-2E9C-101B-9397-08002B2CF9AE}" pid="15" name="LAWLISTTMP1">
    <vt:lpwstr>70301/144.b:3;040b;040c;040i;144.a;029:2;275;245.a;144:2</vt:lpwstr>
  </property>
  <property fmtid="{D5CDD505-2E9C-101B-9397-08002B2CF9AE}" pid="16" name="LAWLISTTMP2">
    <vt:lpwstr>74274/022.a;021.c</vt:lpwstr>
  </property>
  <property fmtid="{D5CDD505-2E9C-101B-9397-08002B2CF9AE}" pid="17" name="LAWLISTTMP3">
    <vt:lpwstr>5227/062.8;062.2;038.2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5578</vt:lpwstr>
  </property>
  <property fmtid="{D5CDD505-2E9C-101B-9397-08002B2CF9AE}" pid="25" name="NEWPARTB">
    <vt:lpwstr>08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390020200608</vt:lpwstr>
  </property>
  <property fmtid="{D5CDD505-2E9C-101B-9397-08002B2CF9AE}" pid="37" name="TYPE_N_DATE">
    <vt:lpwstr>39020200608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