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56064-01-14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קיעאן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אלון אינפלד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 אביב דמרי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פרוק קיעאן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נסאר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אלעטאונה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מחמד אבו אלקיעאן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תומר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אורינוב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5" w:name="PsakDin"/>
            <w:bookmarkStart w:id="6" w:name="LawTable_End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גזר דין </w:t>
            </w:r>
            <w:bookmarkEnd w:id="5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והחלטה</w:t>
            </w:r>
          </w:p>
        </w:tc>
      </w:tr>
    </w:tbl>
    <w:p>
      <w:pPr>
        <w:pStyle w:val="Normal"/>
        <w:spacing w:lineRule="auto" w:line="257" w:before="0" w:after="160"/>
        <w:ind w:firstLine="357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רקע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עובדתי</w:t>
      </w:r>
      <w:r>
        <w:rPr>
          <w:rFonts w:cs="Calibri" w:ascii="Calibri" w:hAnsi="Calibri"/>
          <w:b/>
          <w:bCs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:"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וחובת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פוליסה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rPr>
          <w:rFonts w:ascii="Calibri" w:hAnsi="Calibri" w:cs="Calibri"/>
        </w:rPr>
      </w:pPr>
      <w:bookmarkStart w:id="8" w:name="ABSTRACT_END"/>
      <w:bookmarkEnd w:id="8"/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דצמבר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9CZ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").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לתחילת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ינואר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האחרון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הניח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האקדח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הכפפות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>").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18/01/2014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15:30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ברכב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בכביש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וללא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תקף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57" w:start="714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מתואר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עקלתון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במושב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הקדמי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חגורת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חיפוש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שערכו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בתחנת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מצאו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ובנוסף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השוטרים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14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14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המבחן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14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המשפחתי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והתעסוקתי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בקצרה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לתינוק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כמאבטח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קבלנית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המנוהלת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מבעיות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מילדות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פתאומי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הקרובים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להכניס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אחסן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הוסיף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התכוון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בשטחים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פתוחים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תכונותיו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בהתנהגותו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מוחשית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תבהיר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חומרת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ותהווה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גורם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מרתיע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ובהשלכות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ממליץ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בדרך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להתדרדרות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החשיפה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סביבתו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תסקיר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רווק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ומתפקדת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שאיפותיו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בתנאים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מגבילים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במסעדה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מהיסטוריית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לחודש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אצל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מעורבותו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בפלילים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התלבטות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במצבים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מאפייני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בנטילת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החלטות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כגורמי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ליכולותיו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חינוכית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המליץ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מאת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בילדותו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הצטייר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כתלמיד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וממושמע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הספר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תעודת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בגרות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נע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ממנה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וזכאי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מכתב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מעסיק</w:t>
      </w:r>
      <w:r>
        <w:rPr>
          <w:rFonts w:ascii="Calibri" w:hAnsi="Calibri" w:cs="Calibri"/>
          <w:rtl w:val="true"/>
        </w:rPr>
        <w:t xml:space="preserve"> –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נאמנה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הארוך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העסקתו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תלושי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משכורת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נע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הדרך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למחזיקים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שעושים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להעדיף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שבהרתעת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ולזמינות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כפפות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הנוהגת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9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התעבורה</w:t>
        </w:r>
      </w:hyperlink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18-36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 </w:t>
      </w:r>
      <w:r>
        <w:rPr>
          <w:rFonts w:cs="Calibri" w:ascii="Calibri" w:hAnsi="Calibri"/>
          <w:b/>
          <w:bCs/>
        </w:rPr>
        <w:t>16-36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3</w:t>
      </w:r>
      <w:r>
        <w:rPr>
          <w:rFonts w:cs="Calibri" w:ascii="Calibri" w:hAnsi="Calibri"/>
          <w:b/>
          <w:bCs/>
          <w:rtl w:val="true"/>
        </w:rPr>
        <w:t xml:space="preserve">-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המיוחסות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לתפיסת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סיפוק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המקובל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לגבי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לשיטתו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טווח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ונסיבותיה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התובע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הנקי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ובהודיה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המוכיחה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בסיטואציה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ייחודית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מיוזמתו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המאפיין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במעידה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הדגיש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התחמק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תשובות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להימלט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ולהסתפק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ב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625/82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אבו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מוך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לז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)</w:t>
      </w:r>
      <w:r>
        <w:rPr>
          <w:rFonts w:cs="Calibri" w:ascii="Calibri" w:hAnsi="Calibri"/>
        </w:rPr>
        <w:t>668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הבחנה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קטגוריות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הקטגוריות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ההליכים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ובארבע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הקטגוריות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ייעצר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הראויה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3300/06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10.8.06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לשיטת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בקטגורית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ולדעתו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מופרזים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הסתפקו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בהמלצה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וברשותו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ושאיפות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מהמעסיק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קידומו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עבודתו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להמלצת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סטייה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שיקול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23/1/14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27/02/14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בסיכום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ביקש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הסניגור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לאמץ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החלטת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לבטל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הרשעת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ולהטיל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צ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הוצאות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משפט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הנאשמים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הערכים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המוגנים</w:t>
      </w:r>
      <w:r>
        <w:rPr>
          <w:rFonts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cs="Calibri"/>
          <w:b/>
          <w:b/>
          <w:bCs/>
          <w:u w:val="single"/>
          <w:rtl w:val="true"/>
        </w:rPr>
        <w:t>העבירה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ונסיבותיה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ריבוי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והשלכותיה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cs="Calibri" w:ascii="Calibri" w:hAnsi="Calibri"/>
          <w:rtl w:val="true"/>
        </w:rPr>
        <w:t xml:space="preserve">, 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>):</w:t>
      </w:r>
      <w:r>
        <w:rPr>
          <w:rFonts w:cs="Calibri" w:ascii="Calibri" w:hAnsi="Calibri"/>
          <w:b/>
          <w:bCs/>
          <w:rtl w:val="true"/>
        </w:rPr>
        <w:t xml:space="preserve"> "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המשפט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ציין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עבירות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המבוצעות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בנשק</w:t>
      </w:r>
      <w:r>
        <w:rPr>
          <w:rFonts w:ascii="Calibri" w:hAnsi="Calibri" w:cs="Calibri"/>
          <w:b/>
          <w:b/>
          <w:bCs/>
          <w:rtl w:val="true"/>
        </w:rPr>
        <w:t xml:space="preserve"> – </w:t>
      </w:r>
      <w:r>
        <w:rPr>
          <w:rFonts w:ascii="Calibri" w:hAnsi="Calibri" w:cs="Calibri"/>
          <w:b/>
          <w:b/>
          <w:bCs/>
          <w:rtl w:val="true"/>
        </w:rPr>
        <w:t>לרבות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רכישה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החזקה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ונשיאת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נשק</w:t>
      </w:r>
      <w:r>
        <w:rPr>
          <w:rFonts w:ascii="Calibri" w:hAnsi="Calibri" w:cs="Calibri"/>
          <w:b/>
          <w:b/>
          <w:bCs/>
          <w:rtl w:val="true"/>
        </w:rPr>
        <w:t xml:space="preserve"> –</w:t>
      </w:r>
      <w:r>
        <w:rPr>
          <w:rFonts w:ascii="Calibri" w:hAnsi="Calibri" w:cs="Calibri"/>
          <w:b/>
          <w:b/>
          <w:bCs/>
          <w:rtl w:val="true"/>
        </w:rPr>
        <w:t>טומנות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בחובן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פוטנציאל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הרסני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וביטחונו</w:t>
      </w:r>
      <w:r>
        <w:rPr>
          <w:rFonts w:cs="Calibri" w:ascii="Calibri" w:hAnsi="Calibri"/>
          <w:b/>
          <w:bCs/>
          <w:rtl w:val="true"/>
        </w:rPr>
        <w:t>".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בענייננו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לקרוא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המציאה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לגעת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אזרח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סביר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הכפפות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במעשיהם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שלום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וביטחון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ופגיעה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המוגן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ביטחונם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משתמשי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הדרך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ביצוע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העבירה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ניתן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לראות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באירוע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מחמירות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מקלות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המסוגל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מוגדר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מבוטל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יודגש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שאישרו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לחקירה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להעניק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שהחזיקו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למעשהו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תכנון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ספונטאני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המוסכם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בנוסף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הידוע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והעברתו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מוסמך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שיהיה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/>
          <w:bCs/>
          <w:rtl w:val="true"/>
        </w:rPr>
        <w:t>באשר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ברכבו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בביטחונם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הן משום נוכחות הנשק והן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כידוע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התכלית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שלשמה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תוקף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מונח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הצפוף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גרמו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נזק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הידוע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להמעיט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מדיניות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הנוהגת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start="714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יוקדם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הנגזרים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היקפן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העלאת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מדודה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ובהדרגה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בניגוד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גם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חריג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המתאים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הוצגו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מחוזיים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יחסית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המחמירים 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הנובעים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וקודמת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הניכרת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מהתקדימים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עוסקים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טוב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לפרקליט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שונות</w:t>
      </w:r>
      <w:r>
        <w:rPr>
          <w:rFonts w:ascii="Calibri" w:hAnsi="Calibri" w:cs="Calibri"/>
          <w:rtl w:val="true"/>
        </w:rPr>
        <w:t xml:space="preserve"> מאוד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שמא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יטעה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העדכנית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מפורשת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לשאלת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להקיש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אנסה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התקדימים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ומתוכם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העדכניים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הבהירים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והדומים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מבחינה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ועובדתית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19.1.14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גוסטב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לגביו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ואישר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שבמרכזו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מובהק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אושר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2892/13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עודתאללה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29.9.13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לשטיחון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כיסא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שלוש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שנות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24.8.14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הוכפל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בערעור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למצות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שרטט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מחדש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ולכאורה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ההנמקה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וממילא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2398/14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אלהזייל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8.7.14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נתפס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המערער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בקופסה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המחוזי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מתחם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10-24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אורינוב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b/>
          <w:b/>
          <w:bCs/>
          <w:rtl w:val="true"/>
        </w:rPr>
        <w:t>סולם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מטילים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מבסס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כב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השופטת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הדגישה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הקיימת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מהחשש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למפגש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יוזכר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סנינה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113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מתברר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יאמר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סולם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אבו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בוודאי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שהעביר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ההחזקה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להניח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לטובת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הדעת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יכלו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שעדותם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מתקבלת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תכליתו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להרוג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חזקה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שמטרתו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שהרי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המציאות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בארצנו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מוכיחה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הקלישאה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במערכה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מדויקת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לעיתים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ממתין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למערכה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לכן</w:t>
      </w:r>
      <w:r>
        <w:rPr>
          <w:rFonts w:cs="Calibri" w:ascii="Calibri" w:hAnsi="Calibri"/>
          <w:rtl w:val="true"/>
        </w:rPr>
        <w:t>" (</w:t>
      </w:r>
      <w:r>
        <w:rPr>
          <w:rFonts w:ascii="Calibri" w:hAnsi="Calibri" w:cs="Calibri"/>
          <w:rtl w:val="true"/>
        </w:rPr>
        <w:t>כדברי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השופט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אלהזייל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להתפרש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מהקטגוריות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מהקטגוריה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הקטגוריה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השביעית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לחרוג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מהכלל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המתבטא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לנהוג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שאינו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יכול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לקבל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רפואית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כפי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שעלה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בתסקיר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המדובר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בסיכון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ממש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אירוע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המשולב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הרכב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</w:t>
      </w:r>
      <w:r>
        <w:rPr>
          <w:rFonts w:ascii="Calibri" w:hAnsi="Calibri" w:cs="Calibri"/>
          <w:rtl w:val="true"/>
        </w:rPr>
        <w:t xml:space="preserve"> בסיכון שנוצר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עיקרו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נבלע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לאור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30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8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24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נסיבות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שאינן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קשורות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בעבירה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ענישה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המתחם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שיקול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משותף</w:t>
      </w:r>
      <w:r>
        <w:rPr>
          <w:rFonts w:ascii="Calibri" w:hAnsi="Calibri" w:cs="Calibri"/>
          <w:b/>
          <w:b/>
          <w:bCs/>
          <w:rtl w:val="true"/>
        </w:rPr>
        <w:t xml:space="preserve"> –</w:t>
      </w:r>
      <w:r>
        <w:rPr>
          <w:rFonts w:ascii="Calibri" w:hAnsi="Calibri" w:cs="Calibri"/>
          <w:b/>
          <w:b/>
          <w:bCs/>
          <w:rtl w:val="true"/>
        </w:rPr>
        <w:t>ההודיה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start="714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לקחתי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הודיית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ובהטרחת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ראשונה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שניהם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שיתוף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רשויות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העומס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הרובץ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מערכות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והמשטרה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בעונשם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הנאשמים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הנקי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והיותו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ניהל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אורח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במעצר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40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בחייו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נרשמו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תיזקף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נשוי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ואב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לתינוק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ובריח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לקטוע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ניהול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להפנמת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כנגדו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חשובה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במישור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התרשמות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הנאשם </w:t>
      </w:r>
      <w:r>
        <w:rPr>
          <w:rFonts w:ascii="Calibri" w:hAnsi="Calibri" w:cs="Calibri"/>
          <w:rtl w:val="true"/>
        </w:rPr>
        <w:t>מתקשה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חיצוניים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שוללות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זקוק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מחייבים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להכביד את  ה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סיכומו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למרות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החשש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משליחת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לריצוי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אין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לפנינו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נסיבות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מיוחדות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אשר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בהן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להצדיק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גיסא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ומחייבות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המתקרבת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בתוספת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התעבורה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מותנית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לחיזוק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ההרתעה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המוחשית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אינדיקציה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כסף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שיקולים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ביחס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בגיר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>"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נעדר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פלילי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rtl w:val="true"/>
        </w:rPr>
        <w:t>וניהל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תעודת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עסקים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מצטיירת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תמונה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חיובי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ביסודו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נקלע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פתאומי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קיבל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תיאורו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ולמניעיו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בדברים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מהתסקיר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ציפיות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לעתידו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בעיקר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בתחום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התעסוקתי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והאקדמי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נורמטיבי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דפוסי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התנהגות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הגבוהים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מהתסקיר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למוטב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ולעלות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'</w:t>
      </w:r>
      <w:r>
        <w:rPr>
          <w:rFonts w:ascii="Calibri" w:hAnsi="Calibri" w:cs="Calibri"/>
          <w:rtl w:val="true"/>
        </w:rPr>
        <w:t>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המלך</w:t>
      </w:r>
      <w:r>
        <w:rPr>
          <w:rFonts w:cs="Calibri" w:ascii="Calibri" w:hAnsi="Calibri"/>
          <w:rtl w:val="true"/>
        </w:rPr>
        <w:t xml:space="preserve">'. </w:t>
      </w:r>
      <w:r>
        <w:rPr>
          <w:rFonts w:ascii="Calibri" w:hAnsi="Calibri" w:cs="Calibri"/>
          <w:rtl w:val="true"/>
        </w:rPr>
        <w:t>הוערך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בתסקיר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הביע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חרטה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ולקח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אחריות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עצור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ימים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ומאז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הכללים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הסתבך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הטובים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סיכויי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מהמעביד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יעסיקו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יורשע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בהצטבר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גורמים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ראשית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ושנית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2083/96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כתב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ישראל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ד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נב</w:t>
        </w:r>
      </w:hyperlink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 </w:t>
      </w:r>
      <w:r>
        <w:rPr>
          <w:rFonts w:cs="Calibri" w:ascii="Calibri" w:hAnsi="Calibri"/>
        </w:rPr>
        <w:t>337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בעמ</w:t>
      </w:r>
      <w:r>
        <w:rPr>
          <w:rFonts w:cs="Calibri" w:ascii="Calibri" w:hAnsi="Calibri"/>
          <w:rtl w:val="true"/>
        </w:rPr>
        <w:t xml:space="preserve">' </w:t>
      </w:r>
      <w:r>
        <w:rPr>
          <w:rFonts w:cs="Calibri" w:ascii="Calibri" w:hAnsi="Calibri"/>
        </w:rPr>
        <w:t>342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יצוין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נדירים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בחריגים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מיוחדים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שבוצעה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הנתונים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מאפשרת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מהרשעה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להימנע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ההתחשבות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בנתוניו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החיוביים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ההתרשמות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החיובית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המבחן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והמגמה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השיקומית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יכולים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לבוא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לידי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ביטוי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היותר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בהימנעות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מהטלת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מאחורי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סורג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ובריח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והסתפקות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בענישה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המתקרבת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לכך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ביותר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שירות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לתקופה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המרבית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ומבלי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לנכות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המעצר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זאת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בתוספת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מותנה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משיקולי שיקום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חורגת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והמסוכן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יקטע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לגמרי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החיובי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ובכך לפגום בשיקום יתר על הנדרש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בטרם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יוחלט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סופי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קבלת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מטעם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הממונה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עבודות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לפיכך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יידחה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לצורך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כך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התוצאה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נוכח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האמור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דן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cs="Calibri" w:ascii="Calibri" w:hAnsi="Calibri"/>
          <w:b/>
          <w:bCs/>
        </w:rPr>
        <w:t>13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בפועל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בניכוי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ימי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המעצר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6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מאסר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פוסל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מלקבל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20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שחרורו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rtl w:val="true"/>
        </w:rPr>
        <w:t>בשים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תימנה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השחרור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הפקדה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הרישיון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cs="Calibri"/>
          <w:b/>
          <w:b/>
          <w:bCs/>
          <w:rtl w:val="true"/>
        </w:rPr>
        <w:t>אני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פוסל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מלקבל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או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להחזיק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רישיון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נהיגה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למשך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11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חודש</w:t>
      </w:r>
      <w:r>
        <w:rPr>
          <w:rFonts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cs="Calibri"/>
          <w:b/>
          <w:b/>
          <w:bCs/>
          <w:rtl w:val="true"/>
        </w:rPr>
        <w:t>וזאת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תנאי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rtl w:val="true"/>
        </w:rPr>
        <w:t>למשך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שחרורו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ביטוח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נהיגה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פסילה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2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יידחה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לטיעון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משלים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ליום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17.9.15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 xml:space="preserve">שעה </w:t>
      </w:r>
      <w:r>
        <w:rPr>
          <w:rFonts w:cs="Calibri" w:ascii="Calibri" w:hAnsi="Calibri"/>
          <w:b/>
          <w:bCs/>
        </w:rPr>
        <w:t>10:00</w:t>
      </w:r>
      <w:r>
        <w:rPr>
          <w:rFonts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הודע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לנאשם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cs="Calibri" w:ascii="Calibri" w:hAnsi="Calibri"/>
          <w:b/>
          <w:bCs/>
        </w:rPr>
        <w:t>2</w:t>
      </w:r>
      <w:r>
        <w:rPr>
          <w:rFonts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מועד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הדיון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eastAsia="Calibri" w:cs="Calibri" w:ascii="Calibri" w:hAnsi="Calibri"/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תודיע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השירות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לערוך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חוות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דעת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בעניינו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cs="Calibri" w:ascii="Calibri" w:hAnsi="Calibri"/>
          <w:b/>
          <w:bCs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לעניין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1</w:t>
      </w:r>
      <w:r>
        <w:rPr>
          <w:rFonts w:cs="Calibri" w:ascii="Calibri" w:hAnsi="Calibri"/>
          <w:b/>
          <w:bCs/>
          <w:u w:val="single"/>
          <w:rtl w:val="true"/>
        </w:rPr>
        <w:t xml:space="preserve"> – </w:t>
      </w:r>
      <w:r>
        <w:rPr>
          <w:rFonts w:ascii="Calibri" w:hAnsi="Calibri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תוך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45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יום</w:t>
      </w:r>
      <w:r>
        <w:rPr>
          <w:rFonts w:cs="Calibri" w:ascii="Calibri" w:hAnsi="Calibri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אלעטאונה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דהן </w:t>
      </w:r>
      <w:r>
        <w:rPr>
          <w:rFonts w:ascii="Arial" w:hAnsi="Arial" w:cs="Arial"/>
          <w:rtl w:val="true"/>
        </w:rPr>
        <w:t>ממשרדו והתובע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דמרי 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אלון אינפלד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Times New Roman"/>
          <w:color w:val="0000FF"/>
          <w:u w:val="single"/>
        </w:rPr>
      </w:pPr>
      <w:r>
        <w:rPr>
          <w:rFonts w:cs="Times New Roman"/>
          <w:color w:val="0000FF"/>
          <w:u w:val="single"/>
          <w:rtl w:val="true"/>
        </w:rPr>
        <w:t xml:space="preserve">  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56064-01-14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פרוק קיעאן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  <w:b w:val="false"/>
      <w:bCs w:val="false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">
    <w:name w:val="פיסקת רשימה1"/>
    <w:basedOn w:val="Normal"/>
    <w:next w:val="ListParagraph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5227" TargetMode="External"/><Relationship Id="rId5" Type="http://schemas.openxmlformats.org/officeDocument/2006/relationships/hyperlink" Target="http://www.nevo.co.il/law/5227/38.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5227/38.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case/17929065" TargetMode="External"/><Relationship Id="rId11" Type="http://schemas.openxmlformats.org/officeDocument/2006/relationships/hyperlink" Target="http://www.nevo.co.il/case/5887664" TargetMode="External"/><Relationship Id="rId12" Type="http://schemas.openxmlformats.org/officeDocument/2006/relationships/hyperlink" Target="http://www.nevo.co.il/case/7791493" TargetMode="External"/><Relationship Id="rId13" Type="http://schemas.openxmlformats.org/officeDocument/2006/relationships/hyperlink" Target="http://www.nevo.co.il/case/7791493" TargetMode="External"/><Relationship Id="rId14" Type="http://schemas.openxmlformats.org/officeDocument/2006/relationships/hyperlink" Target="http://www.nevo.co.il/case/6949290" TargetMode="External"/><Relationship Id="rId15" Type="http://schemas.openxmlformats.org/officeDocument/2006/relationships/hyperlink" Target="http://www.nevo.co.il/case/16913730" TargetMode="External"/><Relationship Id="rId16" Type="http://schemas.openxmlformats.org/officeDocument/2006/relationships/hyperlink" Target="http://www.nevo.co.il/case/13093744" TargetMode="External"/><Relationship Id="rId17" Type="http://schemas.openxmlformats.org/officeDocument/2006/relationships/hyperlink" Target="http://www.nevo.co.il/case/5810781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2017-12-04T16:23:00Z</dcterms:created>
  <dc:creator> </dc:creator>
  <dc:description/>
  <cp:keywords/>
  <dc:language>en-IL</dc:language>
  <cp:lastModifiedBy>run</cp:lastModifiedBy>
  <dcterms:modified xsi:type="dcterms:W3CDTF">2017-12-04T16:23:00Z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פרוק קיעאן;מחמד אבו אלקיעאן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ProcID=235&amp;PartA=18&amp;PartC=36</vt:lpwstr>
  </property>
  <property fmtid="{D5CDD505-2E9C-101B-9397-08002B2CF9AE}" pid="9" name="CASESLISTTMP1">
    <vt:lpwstr>17929065;5887664;7791493:2;6949290;16913730;13093744;5810781</vt:lpwstr>
  </property>
  <property fmtid="{D5CDD505-2E9C-101B-9397-08002B2CF9AE}" pid="10" name="CITY">
    <vt:lpwstr>ב"ש</vt:lpwstr>
  </property>
  <property fmtid="{D5CDD505-2E9C-101B-9397-08002B2CF9AE}" pid="11" name="DATE">
    <vt:lpwstr>20150630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אלון אינפלד</vt:lpwstr>
  </property>
  <property fmtid="{D5CDD505-2E9C-101B-9397-08002B2CF9AE}" pid="15" name="LAWLISTTMP1">
    <vt:lpwstr>70301/144.b</vt:lpwstr>
  </property>
  <property fmtid="{D5CDD505-2E9C-101B-9397-08002B2CF9AE}" pid="16" name="LAWLISTTMP2">
    <vt:lpwstr>5227/038.1</vt:lpwstr>
  </property>
  <property fmtid="{D5CDD505-2E9C-101B-9397-08002B2CF9AE}" pid="17" name="LAWYER">
    <vt:lpwstr>אביב דמרי;נסאר אלעטאונה; תומר אורינוב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56064</vt:lpwstr>
  </property>
  <property fmtid="{D5CDD505-2E9C-101B-9397-08002B2CF9AE}" pid="24" name="NEWPARTB">
    <vt:lpwstr>01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390020150630</vt:lpwstr>
  </property>
  <property fmtid="{D5CDD505-2E9C-101B-9397-08002B2CF9AE}" pid="36" name="TYPE_N_DATE">
    <vt:lpwstr>39020150630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