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28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573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6"/>
                <w:szCs w:val="26"/>
                <w:rtl w:val="true"/>
              </w:rPr>
              <w:br/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FrankRuehl"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56073-05-18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אזברגה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"/>
                <w:szCs w:val="2"/>
              </w:rPr>
            </w:pPr>
            <w:r>
              <w:rPr>
                <w:rFonts w:cs="FrankRuehl"/>
                <w:sz w:val="2"/>
                <w:szCs w:val="2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2"/>
          <w:szCs w:val="2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2"/>
        <w:gridCol w:w="3399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חנה מרים לומפ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498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נעמי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לבינוב</w:t>
            </w:r>
          </w:p>
        </w:tc>
        <w:tc>
          <w:tcPr>
            <w:tcW w:w="339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cs="Arial" w:ascii="Arial" w:hAnsi="Arial"/>
                <w:b/>
                <w:bCs/>
                <w:sz w:val="12"/>
                <w:szCs w:val="1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cs="Arial" w:ascii="Arial" w:hAnsi="Arial"/>
                <w:b/>
                <w:bCs/>
                <w:sz w:val="12"/>
                <w:szCs w:val="1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איברהים אזברגה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עצור בפיקוח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אזברגה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עצור בפיקוח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שאדי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נאטור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12"/>
          <w:szCs w:val="12"/>
        </w:rPr>
      </w:pPr>
      <w:r>
        <w:rPr>
          <w:rFonts w:cs="FrankRuehl" w:ascii="FrankRuehl" w:hAnsi="FrankRuehl"/>
          <w:sz w:val="12"/>
          <w:szCs w:val="1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12"/>
          <w:szCs w:val="12"/>
        </w:rPr>
      </w:pPr>
      <w:r>
        <w:rPr>
          <w:rFonts w:cs="FrankRuehl" w:ascii="FrankRuehl" w:hAnsi="FrankRuehl"/>
          <w:sz w:val="12"/>
          <w:szCs w:val="12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cs="Arial" w:ascii="Arial" w:hAnsi="Arial"/>
          <w:b/>
          <w:bCs/>
          <w:sz w:val="12"/>
          <w:szCs w:val="12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firstLine="360" w:start="-426" w:end="0"/>
        <w:jc w:val="both"/>
        <w:rPr>
          <w:rFonts w:ascii="David" w:hAnsi="David" w:cs="David"/>
          <w:b/>
          <w:bCs/>
          <w:u w:val="single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284" w:start="232" w:end="284"/>
        <w:contextualSpacing/>
        <w:jc w:val="both"/>
        <w:rPr>
          <w:rFonts w:ascii="David" w:hAnsi="David" w:cs="David"/>
        </w:rPr>
      </w:pPr>
      <w:bookmarkStart w:id="9" w:name="ABSTRACT_START"/>
      <w:bookmarkEnd w:id="9"/>
      <w:r>
        <w:rPr>
          <w:rFonts w:ascii="David" w:hAnsi="David"/>
          <w:rtl w:val="true"/>
        </w:rPr>
        <w:t>הנאשמים הורשעו על פי הודאתם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 בכתב אישום מתוקן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בעבירה של נשיאת נשק לפי סעיף </w:t>
      </w:r>
      <w:hyperlink r:id="rId7"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rtl w:val="true"/>
          </w:rPr>
          <w:t>חוק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בעבירה של החזקת נשק לפי סעיף </w:t>
      </w:r>
      <w:hyperlink r:id="rId9"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 w:before="0" w:after="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28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הסדר הטיעון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הייתה הסכמה לעניין העונש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rtl w:val="true"/>
        </w:rPr>
        <w:t xml:space="preserve">הטיעונים לעונש נדחו לאחר קבלת תסקירי שירות מבחן בעניינם של הנאשמים וחוות דעת הממונה על עבודות השירות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numPr>
          <w:ilvl w:val="0"/>
          <w:numId w:val="15"/>
        </w:numPr>
        <w:spacing w:lineRule="auto" w:line="360" w:before="0" w:after="160"/>
        <w:ind w:hanging="28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מעובדות כתב האישום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rtl w:val="true"/>
        </w:rPr>
        <w:t xml:space="preserve">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ליום </w:t>
      </w:r>
      <w:r>
        <w:rPr>
          <w:rFonts w:cs="David" w:ascii="David" w:hAnsi="David"/>
        </w:rPr>
        <w:t>13.5.18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קשר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 עם אחרים וניהל עמם משא ומתן לשם רכישת אקדח המצוי ברשותם של האחרים וזאת במטרה לסחור בו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28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13.5.18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לאחר שתיאם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rtl w:val="true"/>
        </w:rPr>
        <w:t xml:space="preserve">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20:00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הנאשמים מלוד למחנה הפליטים שועפאט בירושלים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הועבר לרשותם אקדח גנוב מתוצרת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מ״מ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יחד עם מחסנית תואמת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״</w:t>
      </w:r>
      <w:r>
        <w:rPr>
          <w:rFonts w:ascii="David" w:hAnsi="David"/>
          <w:b/>
          <w:b/>
          <w:bCs/>
          <w:rtl w:val="true"/>
        </w:rPr>
        <w:t>האקדח</w:t>
      </w:r>
      <w:r>
        <w:rPr>
          <w:rFonts w:ascii="David" w:hAnsi="David"/>
          <w:rtl w:val="true"/>
        </w:rPr>
        <w:t>״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עבור האקדח העבירו הנאשמים למוכרי הנשק את התמורה בסך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אלף ש״ח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28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בהמשך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נכנסו הנאשמים לרכב סובארו בעל לוחית זיהוי שמספרה </w:t>
      </w:r>
      <w:r>
        <w:rPr>
          <w:rFonts w:cs="David" w:ascii="David" w:hAnsi="David"/>
        </w:rPr>
        <w:t>2373139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נוהג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הסתירו את האקדח מתחת למושב הנוסע עליו ישב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ועשו דרכם חזרה מירושלים עד שנעצרו סמוך למחלף שער הגיא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284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start="-426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תסקירי </w:t>
      </w:r>
      <w:r>
        <w:rPr>
          <w:bCs/>
          <w:u w:val="single"/>
          <w:rtl w:val="true"/>
          <w:lang w:eastAsia="he-IL"/>
        </w:rPr>
        <w:t>שירות</w:t>
      </w:r>
      <w:r>
        <w:rPr>
          <w:rFonts w:ascii="David" w:hAnsi="David"/>
          <w:b/>
          <w:b/>
          <w:bCs/>
          <w:u w:val="single"/>
          <w:rtl w:val="true"/>
        </w:rPr>
        <w:t xml:space="preserve"> מבחן</w:t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28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מתסקיר שירות המבחן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הוא כבן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נשוי לקרובת משפחתו ואב לשני ילדים בגילאים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 הבכור של הנאשם נולד כפג וסובל מפיגור שכלי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ומשכך נמצא במסגרת חינוכית המותאמת לצרכיו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מתגורר עם משפחתו בעיר לוד ולדבריו מקבל קצבת נכות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לאחר שנפצע בתאונת עבודה לפני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לאחריה התקשה למצוא עבודה ועבד לסירוגין כקבלן בתחום השיפוצים ואילו כיום אינו עובד כלל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ללא תעודת בגרות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ועד למועד קרות התאונה עבד כנהג משאית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עולה מהתסקיר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השני מבין שבעה אחים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ואחד מאחיו מרצה כיום עונש 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הוריו התגרשו לפני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אביו נישא בשנית ולנאשם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ארבעה אחים למחצה נוספים מנישואיו השניים של אביו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אביו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ואינו עובד מזה כעשרים שנה עקב בעיות בריאותיות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אמו נמצאת בשנות החמישים לחייה ועובדת בעבודות ניקיון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מדבריו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משפחתו המורחבת נמצאת בסכסוך פעיל עם משפחה אחרת אשר במהלכו נהרגו קרוביו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עולה  מהתסקיר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משמש דמות מרכזית בגידול בנו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ולצד זאת מתקשה להעמיק בהתמודדותו הרגשית הכרוכה במצבו של בנו הבכור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284" w:start="232" w:end="284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קצינת המבחן התרשמה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מחזיק בעמדות מקלות ראש אשר להתנהלות פורצת גבול בתחום החזקת הנשק וניהול קשרים חברתיים שוליים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בסביבת מגוריו ואף במעגלים רחוקים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לתפיסתו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התנהלותו השולית והעבריינית אפשרה לו להתמודד עם קשיו הכלכליים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במיוחד</w:t>
      </w:r>
      <w:r>
        <w:rPr>
          <w:rFonts w:ascii="David" w:hAnsi="David"/>
          <w:rtl w:val="true"/>
        </w:rPr>
        <w:t xml:space="preserve"> לאור תפקודו התעסוקתי הירוד בשנים האחרונות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284" w:start="232" w:end="284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ascii="David" w:hAnsi="David"/>
          <w:rtl w:val="true"/>
        </w:rPr>
        <w:t>אשר לגורמי הסיכון להישנות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קצינת המבחן התרשמה כי קיימים אצל הנאשם דפוסי התנהגות נוקשים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מתקשה לבחון באופן מעמיק וביקורתי את התנהגויותיו ודפוסי חשיבתו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התרשמה 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בעל עמדות מבוצרות וכי הוא אינו מצליח להתייחס לחומרה שבהחזקת נשק ולמידת התדרדרות שחלה במצבו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28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לגורמי הסיכוי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קצינת המבחן התרשמה שאלו מצומצמים בעיתוי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וקשורים בעיקר לעובדה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 עבר פלילי ומחויב לתפקידיו המשפחתיים כבן זוג וכאב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374" w:start="232" w:end="284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ascii="David" w:hAnsi="David"/>
          <w:rtl w:val="true"/>
        </w:rPr>
        <w:t xml:space="preserve">קצינת המבחן נמנע מהמלצה טיפולית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משום שלאור האמור היעילות שבהמשך הקשר עם שירות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rtl w:val="true"/>
        </w:rPr>
        <w:t xml:space="preserve"> כגוף סמכותי ושיקומי היא נמוכה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 לא המליצה על הטלת צו מבחן כענישה שיקומית</w:t>
      </w:r>
      <w:r>
        <w:rPr>
          <w:rFonts w:cs="David" w:ascii="David" w:hAnsi="David"/>
          <w:sz w:val="12"/>
          <w:szCs w:val="12"/>
          <w:rtl w:val="true"/>
        </w:rPr>
        <w:t>.</w:t>
      </w:r>
    </w:p>
    <w:p>
      <w:pPr>
        <w:pStyle w:val="Normal"/>
        <w:spacing w:lineRule="auto" w:line="360" w:before="0" w:after="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374" w:start="232" w:end="284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המליץ שירות המבחן להטיל על הנאשם ענישה מוחשית וקונקרטית אשר תציב בפניו גבול ברור </w:t>
      </w:r>
      <w:r>
        <w:rPr>
          <w:rFonts w:ascii="David" w:hAnsi="David"/>
          <w:color w:val="000000"/>
          <w:rtl w:val="true"/>
        </w:rPr>
        <w:t>ביחס</w:t>
      </w:r>
      <w:r>
        <w:rPr>
          <w:rFonts w:ascii="David" w:hAnsi="David"/>
          <w:rtl w:val="true"/>
        </w:rPr>
        <w:t xml:space="preserve"> להתנהגותו העבריינית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תוך התחשבות בנסיבותיו האישיות ועברו הפלילי הנקי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מתסקיר שירות המבחן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הוא בן </w:t>
      </w: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נשוי משנת </w:t>
      </w:r>
      <w:r>
        <w:rPr>
          <w:rFonts w:cs="David" w:ascii="David" w:hAnsi="David"/>
        </w:rPr>
        <w:t>2005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ואב לחמישה ילדים בגילאי </w:t>
      </w:r>
      <w:r>
        <w:rPr>
          <w:rFonts w:cs="David" w:ascii="David" w:hAnsi="David"/>
        </w:rPr>
        <w:t>3-14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אשתו של הנאשם בת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ואינה עובדת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אחת מבנותיו של הנאשם היא בעלת צרכים מיוחדים ולומדת במסגרת חינוך מיוחד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מתגורר עם משפחתו בלוד וטרם מעצרו עבד במשך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כנהג טרקטור בחברת עפר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מהתסקיר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בתיכון מקצועי במגמת נגרות וזאת ללא תעודת בגרות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מבחינה תעסוקתית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לאורך השנים עבד הנאשם בעבודות מזדמנות בתחום הבניין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עולה מהתסקיר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השלישי מבין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 ואחיות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אביו של הנאשם כבן </w:t>
      </w:r>
      <w:r>
        <w:rPr>
          <w:rFonts w:cs="David" w:ascii="David" w:hAnsi="David"/>
        </w:rPr>
        <w:t>70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ונשוי לארבע נשים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 משותפים מאמו ואביו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האחים ונשותיו של אביו למעט האחרונה מתגוררים במתחם משותף בלוד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 של הנאשם עזב לפני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את המשפחה ועבר להתגורר עם אשתו </w:t>
      </w:r>
      <w:r>
        <w:rPr>
          <w:rFonts w:ascii="David" w:hAnsi="David"/>
          <w:color w:val="000000"/>
          <w:rtl w:val="true"/>
        </w:rPr>
        <w:t>האחרונה</w:t>
      </w:r>
      <w:r>
        <w:rPr>
          <w:rFonts w:ascii="David" w:hAnsi="David"/>
          <w:rtl w:val="true"/>
        </w:rPr>
        <w:t xml:space="preserve"> בשטחים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לפני מספר שנים חלה האב באלצהיימר וחזר להתגורר עם בני המשפחה בלוד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תיאר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במהלך השנים האחרונות שימש כאפוטרופו</w:t>
      </w:r>
      <w:r>
        <w:rPr>
          <w:rFonts w:ascii="David" w:hAnsi="David"/>
          <w:rtl w:val="true"/>
        </w:rPr>
        <w:t>ס</w:t>
      </w:r>
      <w:r>
        <w:rPr>
          <w:rFonts w:ascii="David" w:hAnsi="David"/>
          <w:rtl w:val="true"/>
        </w:rPr>
        <w:t xml:space="preserve"> של אביו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מטפל באחיו בנוסף לחמשת ילדיו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מנהל אורח חיים עמוס ואינטנסיבי הכולל מטלות רבות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לתחושתו מצליח להתמודד עם ריבוי המטלות והאחריות הכבדה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בנוסף עולה מהתסקיר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לחובתו של הנאשם הרשעות קודמות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במהלך השנים </w:t>
      </w:r>
      <w:r>
        <w:rPr>
          <w:rFonts w:cs="David" w:ascii="David" w:hAnsi="David"/>
        </w:rPr>
        <w:t>2000-2005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בגין ביצוע עבירות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rtl w:val="true"/>
        </w:rPr>
        <w:t xml:space="preserve">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ביצוע עבודות ללא היתר ועבירות 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בגין עבירות אלו נידון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לעונשים שונים ולמאסר בפועל לתקופה 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בשנת </w:t>
      </w:r>
      <w:r>
        <w:rPr>
          <w:rFonts w:cs="David" w:ascii="David" w:hAnsi="David"/>
        </w:rPr>
        <w:t>2003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אשר לביצוע </w:t>
      </w:r>
      <w:r>
        <w:rPr>
          <w:rFonts w:ascii="David" w:hAnsi="David"/>
          <w:color w:val="000000"/>
          <w:rtl w:val="true"/>
        </w:rPr>
        <w:t>העביר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טען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ברקע לאירוע היה הרצון לסייע למכר שלו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ועל כן התנדב להסיעו ברכבו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הסביר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 ידע מהי מטרת הנסיעה ולא היה מודע לקניית הנשק באירוע עד למועד חזרתם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הראה לו את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שלל מודעות באשר להימצאותו של הנשק והדגיש כי לא לקח חלק בתכנונה של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קצינת המבחן התרשמה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צמצם ומזער את התנהגותו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כן את הנזק העשוי היה להיגרם כתוצאה מהתנהלותו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התרשמה 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ממוקד במצוקותיו הכלכליות ובאחריותו כלפי בני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התקשה להתייחס למניעיו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להתנהלותו הבעייתית ונוצר הרושם כי אינו פנוי לבחינה מעמיקה של התנהגותו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כחלק מתהליך הבדיקה בשירות המבחן התבקש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למסור דגימות שתן לאיתור שרידי 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שלל שימוש בחומרים פסיכו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אקטיביים בעבר ובעיתוי 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והתרעם על הבקשה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הסכים למסור בדיקות שתן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התרשמה 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התקשה לתת אמון בגורמי הטיפול וגילה עמדה חשדנית כלפיהם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לגורמי הסיכון להישנות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נבחנו מאפייניו האישיים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הקוגניטיביים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רגשיים וסביבתיים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קצינת המבחן התרשמה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קיימים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קשיים לבחון באופן ביקורתי את התנהלותו באירוע העברייני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קשיים בהפעלת שיקול דעת מותאם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אחריות ומחויבות אשר הוא חש כלפי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התנהלות הישרדותית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נטייה למזעור וצמצום מעורבותו בעבירות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קשיים לשתף פעולה ולמסור בדיקות שתן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דפוסים אלו מעידים על רמת סיכון בינונית למעורבות אלימה 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מידת החומרה של תוצאות האלימות צפויה להיות בינונית אף היא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284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אשר לגורמי </w:t>
      </w:r>
      <w:r>
        <w:rPr>
          <w:rFonts w:ascii="David" w:hAnsi="David"/>
          <w:color w:val="000000"/>
          <w:rtl w:val="true"/>
        </w:rPr>
        <w:t>הסיכוי</w:t>
      </w:r>
      <w:r>
        <w:rPr>
          <w:rFonts w:ascii="David" w:hAnsi="David"/>
          <w:rtl w:val="true"/>
        </w:rPr>
        <w:t xml:space="preserve">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קצינת המבחן התרשמה מאחריותו התפקודית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 הנוגע לבני משפחתו ולשאיפותיו לנהל אורח חיים תקין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קצינת המבחן נמנעה מהמלצה טיפולית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לאור המתואר וקשיי הנאשם לשתף פעולה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rtl w:val="true"/>
        </w:rPr>
        <w:t xml:space="preserve"> האבחון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המליץ שירות המבחן להטיל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 מוחשית בעלת גבולות ברורים אשר תחדד עבורו את גבולות החוק ותהווה עבורו גבול ברור להישנות ביצוע עבירות נוספות בעתיד וזאת לצד עונש מותנה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-14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-142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חוות דעת הממונה</w:t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מחוות דעת הממונה על עבודות שירות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שולל שימוש בסמים או 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מוגבלות רפואיות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מבין את הכללים להעסקה בעבודות שירות ומעוניין לרצות את </w:t>
      </w:r>
      <w:r>
        <w:rPr>
          <w:rFonts w:ascii="David" w:hAnsi="David"/>
          <w:color w:val="000000"/>
          <w:rtl w:val="true"/>
        </w:rPr>
        <w:t>עונשו</w:t>
      </w:r>
      <w:r>
        <w:rPr>
          <w:rFonts w:ascii="David" w:hAnsi="David"/>
          <w:rtl w:val="true"/>
        </w:rPr>
        <w:t xml:space="preserve">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מצבו הכלכלי לא יהווה עילה לאי העמדה בכללי ההעסקה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 כשיר לבצע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מאחר שלא התקבלה עמדת משטרת ישראל ביחס לאפשרות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ניתנה המלצה סופית בעניינו עד למועד הטיעונים לעונש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ולאור עמדת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 ביקש בא כוחו לדחות את הדיון לשם קבלת חוות דעתו הסופית של הממונה וביקש לסיים את 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284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ללא שהתבקשה חוות דעת משלימה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התקבלה ביום </w:t>
      </w:r>
      <w:r>
        <w:rPr>
          <w:rFonts w:cs="David" w:ascii="David" w:hAnsi="David"/>
        </w:rPr>
        <w:t>20.3.19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חוות דעת הממונה על עבודות השירות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לפיה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 מתאים לבצע עבודות שירות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פתחון לב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30.4.19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קבלת חוות הדעת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בדיון היום שינה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עמדתו וביקש לרצות את עונש המאסר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-142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start="-426" w:end="0"/>
        <w:jc w:val="both"/>
        <w:rPr>
          <w:rFonts w:ascii="David" w:hAnsi="David" w:cs="David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ascii="David" w:hAnsi="David"/>
          <w:b/>
          <w:b/>
          <w:bCs/>
          <w:u w:val="single"/>
          <w:rtl w:val="true"/>
        </w:rPr>
        <w:t xml:space="preserve"> הצדדים לעונש</w:t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הערכים המוגנים המרכזיים שנפגעו הם ביטחון אזרחיה ותושביה של מדינת ישראל ושלמות גופם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נפגע הערך המוגן של שמירה על שלטון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ב״כ המאשימה הפנתה להנחיות פרקליט המדינה ולפסיקה בעניין הסיכונים הכרוכים בעבירות הנשק והמגמה להעלות את רף הענישה בעבירות אלה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284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לעניין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הדמות הדומיננטית והאחראי לתכנון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אף זאת אין להמעיט מחשיבותו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 העבירה שכן הוא תרם תרומה משמעותית אשר בלעדיה כל מלאכת ביצוע העבירה לא הייתה נשלמת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לנזק הדגישה ב״כ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שמדובר בנשק גנוב אשר הסחר בו מהווה עבירה חמורה ומסכנת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לתת חשיבות לסוג הנשק המתואר ולעובדה שעם הנשק הייתה מחסנית וכי הנזק הפוטנציאלי לא התממש בזכות פעולת המשטרה שעצרה את הנאשמים בדרכם חזרה ולא בשל חרטתם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למניע והתמורה גרסה ב״כ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בהתאם לאמור בתסקירים המניע הוא כלכלי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יש צורך ביצירת הרתעה על ידי הטלת קנס משמעותי בנוסף לכל ענישה מוחשית שתוטל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284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כל המכלול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סברה ב״כ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מתחם העונש ההולם אשר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צריך לנוע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אשר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שיש להעמיד את מתחם העונש ההולם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ב״כ המאשימה הגישה פסיקה לתמיכה בטענותיה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לקביעת העונש 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 ב״כ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כפי העולה מתסקיר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לתת דגש על הרתעת היחיד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אין הפנמה של הפסול שבמעשיו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עמדתו הייתה ונשארה נוקשה והוא אינו מצליח להבין את חומרת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לכך המניע למעשיו הוא כלכלי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והדרך שלו להתמודד עם מצבו הכלכלי הוא עיסוק בנשק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משכך סברה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שיש למקם את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בשליש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וכמו כן עתרה להשית עליו מאסר על תנאי וקנס בנוסך למאסר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284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16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אשר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 ב״כ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כפר במודעותו בכל הנוגע להימצאות הנשק באירוע ואף טשטש וצמצם את חומרת 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לגרסתה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התקשה לשתף פעולה עם שירות המבחן ורמת הסיכון להישנות עבירה בעניינו היא בינונית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בנוסף יש לזקוף לחובתו כי הוא בעל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rtl w:val="true"/>
        </w:rPr>
        <w:t xml:space="preserve">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סברה ב״כ המאשימה שיש למקם את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בשליש התחתון של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לצד השתת עונשים נלווים של מאסר מותנה וקנס כספי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360" w:start="-426" w:end="0"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הדגיש ב״כ הנאשמים שיש לייחס חשיבות לכך שכתב האישום תוקן לקולא וכן יש  </w:t>
      </w:r>
      <w:r>
        <w:rPr>
          <w:rFonts w:ascii="David" w:hAnsi="David"/>
          <w:color w:val="000000"/>
          <w:rtl w:val="true"/>
        </w:rPr>
        <w:t>לשים</w:t>
      </w:r>
      <w:r>
        <w:rPr>
          <w:rFonts w:ascii="David" w:hAnsi="David"/>
          <w:rtl w:val="true"/>
        </w:rPr>
        <w:t xml:space="preserve"> לב להבדלים בין הנאשמים ולחלקו של כל אחד באירוע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לכך שלכל אחד מהם יוחסה עבירה במדרג חומרה 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בעבירות של נשיאת נשק בעוד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בעבירת החזקה נשק שהיא במדרג חומרה נמוך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טען ב״כ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על אף שבפני המאשימה עמדו כל הנתונים הרלוונטיים לעניין עסקת הסחר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הוגשו כתבי אישום כנגד שאר המעורבים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לשיטת ב״כ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ליתן דעתו לכך שלנאשמים לא מיוחסת עבירה של קשירת קשר אשר יש בה כדי להשליך על אלמנט התכנון והידיעה שבביצוע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eastAsia="Times New Roman" w:cs="David"/>
          <w:sz w:val="12"/>
          <w:szCs w:val="12"/>
        </w:rPr>
      </w:pPr>
      <w:r>
        <w:rPr>
          <w:rFonts w:eastAsia="Times New Roman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לנסיבות ביצוע העבירה ציין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הנאשמים שעל בית המשפט ליתן חשיבות לזמן ההחזקה בנשק אשר מהווה פקטור מרכזי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שעולה מעובדות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זמן ההחזקה בנשק היה קצר ולא עלה על כשעה וחצי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טען ב״כ הנאשמים שהנשק לא היה דרוך והמחסנית לא הייתה טעונה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מדובר בנשק קצר ולא ארוך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הוא נמצא במדרג הנמוך של עבירות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232" w:end="284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לתסקירים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סבר ב״כ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שהנאשמים שיתפו פעולה עם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נעדר עבר פלילי וזוהי הסתבכותו הראשונה עם החוק ועברו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התיישן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 ב״כ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יכול להתרשם כי הנאשמים חזרו לתלם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נסיבות החיים הקשות האופפות אותם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השתלבו בקבוצות של שירות המבחן תחת צו פיקוח מעצרים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הפרו את התנאים שנקבעו 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והראו שניתן ליתן בהם אמון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הנאשמים הדגיש את נסיבותיהם הלא פשוטות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ליתן להם משקל מכריע בקביעת העונש המתאים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ביקש להתחשב בתקופה בה היו הנאשמים עצורים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עצורים באיזוק ושוהים בתנאים מגבילים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232" w:end="284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הנאשמים סבר שמתחם העונש ההולם בעבירות של נשיאה והובלת נשק 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יש למקם את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בתחתית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לעבירת ההחזקת הנשק סבר ב״כ הנאשמים שיש לקבוע מתחם ענישה ההולם הנע בין מספר חודשי מאסר שיכול שירצו בעבודות שירות ועד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יש למקם את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בתחתית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הנאשמים ביקש שיוטל עליו עונש מאסר בפועל קצר ולא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משום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מעוניין לסיים את ההליך ולהמשיך בחייו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לסיום הוסיף שככל שבית המשפט יטיל על הנאשמים קנס כספי ביקש שזה יהיה מתון לאור מצבם הכלכלי הקשה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הנאשמים הגיש אף הוא פסיקה לתמיכה בטענותיו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232" w:end="284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בדברו האחרון מסר שהוא אדם מוערך בשכונת מגוריו ואהוב על הבריות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זו הסתבכותו  הראשונה בפלילים והוא מצר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לו הפעם האחרונה שהוא יעשה דבר כזה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232" w:end="284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בדברו האחרון מסר שהוא מצטער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רוצה לגמור עם הסיפור הזה שחונק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הוסיף שלאחר מאסרו הקודם הוא התחתן והביא ילדים לעולם והחל בדרך חדשה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0" w:after="0"/>
        <w:ind w:start="-142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start="-426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דיון </w:t>
      </w:r>
      <w:r>
        <w:rPr>
          <w:bCs/>
          <w:u w:val="single"/>
          <w:rtl w:val="true"/>
          <w:lang w:eastAsia="he-IL"/>
        </w:rPr>
        <w:t>והכרעה</w:t>
      </w:r>
    </w:p>
    <w:p>
      <w:pPr>
        <w:pStyle w:val="Normal"/>
        <w:spacing w:lineRule="auto" w:line="360"/>
        <w:ind w:firstLine="360" w:start="-426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firstLine="360" w:start="-426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מתחם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ascii="David" w:hAnsi="David"/>
          <w:b/>
          <w:b/>
          <w:bCs/>
          <w:u w:val="single"/>
          <w:rtl w:val="true"/>
        </w:rPr>
        <w:t xml:space="preserve"> ההולם</w:t>
      </w:r>
    </w:p>
    <w:p>
      <w:pPr>
        <w:pStyle w:val="Normal"/>
        <w:numPr>
          <w:ilvl w:val="0"/>
          <w:numId w:val="15"/>
        </w:numPr>
        <w:spacing w:lineRule="auto" w:line="360" w:before="0" w:after="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בהתאם לאמור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העיקרון המנחה בענישה הוא עיקרון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יחס הולם בין חומרת מעשה העבירה ונסיבותיו ומידת אשמו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ומידת העונש המוטל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הנוהגת ובנסיבות הקשורות לביצוע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232" w:end="284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0"/>
        <w:ind w:hanging="374" w:start="232" w:end="284"/>
        <w:contextualSpacing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</w:rPr>
        <w:t>הערכים החברתיים עליהם יש להגן מפני אלה המבצעים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הם שמירה על שלמות </w:t>
      </w:r>
      <w:r>
        <w:rPr>
          <w:rFonts w:ascii="David" w:hAnsi="David"/>
          <w:rtl w:val="true"/>
        </w:rPr>
        <w:t>גופו</w:t>
      </w:r>
      <w:r>
        <w:rPr>
          <w:rFonts w:ascii="David" w:hAnsi="David"/>
          <w:rtl w:val="true"/>
          <w:lang w:eastAsia="he-IL"/>
        </w:rPr>
        <w:t xml:space="preserve"> ורכושו של אדם ומניעת פגיעה משמעותית בו כתוצאה משימוש בנשק חם על ידי מי שאינו מיומן בכך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בית המשפט העליון חזר פעם אחר פעם על החומרה הגלומה בעבירות נשק ועל פוטנציאל הפגיעה בנפש וברכוש שעלולים להיגרם כתוצאה מהשימוש בו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319/11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יאסין</w:t>
      </w:r>
      <w:r>
        <w:rPr>
          <w:rFonts w:cs="Arial" w:ascii="Arial" w:hAnsi="Arial"/>
          <w:rtl w:val="true"/>
        </w:rPr>
        <w:t xml:space="preserve">,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1768/14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גנאיים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7317/13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8280/15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 גולאני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David" w:hAnsi="David"/>
          <w:rtl w:val="true"/>
        </w:rPr>
        <w:t>המחוקק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והחזק הנשק </w:t>
      </w:r>
      <w:r>
        <w:rPr>
          <w:rFonts w:ascii="David" w:hAnsi="David"/>
          <w:rtl w:val="true"/>
        </w:rPr>
        <w:t>כעביר</w:t>
      </w:r>
      <w:r>
        <w:rPr>
          <w:rFonts w:ascii="David" w:hAnsi="David"/>
          <w:rtl w:val="true"/>
        </w:rPr>
        <w:t>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</w:t>
      </w:r>
      <w:r>
        <w:rPr>
          <w:rFonts w:ascii="David" w:hAnsi="David"/>
          <w:rtl w:val="true"/>
        </w:rPr>
        <w:t>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ד</w:t>
      </w:r>
      <w:r>
        <w:rPr>
          <w:rFonts w:ascii="David" w:hAnsi="David"/>
          <w:rtl w:val="true"/>
        </w:rPr>
        <w:t xml:space="preserve">ן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  <w:lang w:eastAsia="he-IL"/>
        </w:rPr>
        <w:t xml:space="preserve"> ועד </w:t>
      </w:r>
      <w:r>
        <w:rPr>
          <w:rFonts w:cs="David" w:ascii="David" w:hAnsi="David"/>
          <w:lang w:eastAsia="he-IL"/>
        </w:rPr>
        <w:t>7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שנות מאסר בהתאמה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 w:before="0" w:after="0"/>
        <w:ind w:start="232" w:end="284"/>
        <w:contextualSpacing/>
        <w:jc w:val="both"/>
        <w:rPr>
          <w:rFonts w:ascii="David" w:hAnsi="David" w:cs="David"/>
          <w:sz w:val="12"/>
          <w:szCs w:val="12"/>
          <w:lang w:eastAsia="he-IL"/>
        </w:rPr>
      </w:pPr>
      <w:r>
        <w:rPr>
          <w:rFonts w:cs="David" w:ascii="David" w:hAnsi="David"/>
          <w:sz w:val="12"/>
          <w:szCs w:val="12"/>
          <w:rtl w:val="true"/>
          <w:lang w:eastAsia="he-IL"/>
        </w:rPr>
      </w:r>
    </w:p>
    <w:p>
      <w:pPr>
        <w:pStyle w:val="Normal"/>
        <w:numPr>
          <w:ilvl w:val="0"/>
          <w:numId w:val="15"/>
        </w:numPr>
        <w:spacing w:lineRule="auto" w:line="360" w:before="0" w:after="0"/>
        <w:ind w:hanging="374" w:start="232" w:end="284"/>
        <w:contextualSpacing/>
        <w:jc w:val="both"/>
        <w:rPr>
          <w:rFonts w:ascii="David" w:hAnsi="David" w:cs="David"/>
          <w:lang w:eastAsia="he-IL"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  <w:lang w:eastAsia="he-IL"/>
        </w:rPr>
        <w:t>שזוהי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. </w:t>
      </w:r>
      <w:r>
        <w:rPr>
          <w:rFonts w:ascii="David" w:hAnsi="David"/>
          <w:rtl w:val="true"/>
          <w:lang w:eastAsia="he-IL"/>
        </w:rPr>
        <w:t>כב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 xml:space="preserve">השופט זילברטל  חזר על עיקרון זה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בע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6989/13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 xml:space="preserve"> 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פרח 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cs="David" w:ascii="David" w:hAnsi="David"/>
          <w:lang w:eastAsia="he-IL"/>
        </w:rPr>
        <w:t>25.2.14</w:t>
      </w:r>
      <w:r>
        <w:rPr>
          <w:rFonts w:cs="David" w:ascii="David" w:hAnsi="David"/>
          <w:rtl w:val="true"/>
          <w:lang w:eastAsia="he-IL"/>
        </w:rPr>
        <w:t>),</w:t>
      </w:r>
      <w:r>
        <w:rPr>
          <w:rFonts w:ascii="David" w:hAnsi="David"/>
          <w:rtl w:val="true"/>
          <w:lang w:eastAsia="he-IL"/>
        </w:rPr>
        <w:t>כלשונו</w:t>
      </w:r>
      <w:r>
        <w:rPr>
          <w:rFonts w:cs="David" w:ascii="David" w:hAnsi="David"/>
          <w:rtl w:val="true"/>
          <w:lang w:eastAsia="he-IL"/>
        </w:rPr>
        <w:t>:</w:t>
      </w:r>
    </w:p>
    <w:p>
      <w:pPr>
        <w:pStyle w:val="ListParagraph"/>
        <w:spacing w:lineRule="auto" w:line="360" w:before="120" w:after="120"/>
        <w:ind w:end="709"/>
        <w:contextualSpacing/>
        <w:jc w:val="both"/>
        <w:rPr>
          <w:rFonts w:ascii="David" w:hAnsi="David" w:eastAsia="Times New Roman" w:cs="David"/>
          <w:sz w:val="2"/>
          <w:szCs w:val="2"/>
          <w:lang w:eastAsia="he-IL"/>
        </w:rPr>
      </w:pPr>
      <w:r>
        <w:rPr>
          <w:rFonts w:eastAsia="Times New Roman" w:cs="David" w:ascii="David" w:hAnsi="David"/>
          <w:sz w:val="2"/>
          <w:szCs w:val="2"/>
          <w:rtl w:val="true"/>
          <w:lang w:eastAsia="he-IL"/>
        </w:rPr>
      </w:r>
    </w:p>
    <w:p>
      <w:pPr>
        <w:pStyle w:val="ListParagraph"/>
        <w:spacing w:lineRule="auto" w:line="360" w:before="120" w:after="120"/>
        <w:ind w:start="1134" w:end="1134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בית משפט זה חזר לא אחת על הסכנה הרבה הטמונה בעבירות נשק 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בעיקר בשל כך שעבירות מסוג זה מקימות פוטנציאל להסלמה עבריינית ויוצרות סיכון ממשי וחמור לשלום הציבור וביטחונו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 (</w:t>
      </w:r>
      <w:hyperlink r:id="rId16">
        <w:r>
          <w:rPr>
            <w:rStyle w:val="Hyperlink"/>
            <w:rFonts w:ascii="David" w:hAnsi="David" w:eastAsia="Times New Roman"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b/>
            <w:b/>
            <w:bCs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b/>
            <w:bCs/>
            <w:sz w:val="24"/>
            <w:szCs w:val="24"/>
          </w:rPr>
          <w:t>3156/11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זראיעה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פסקה </w:t>
      </w:r>
      <w:r>
        <w:rPr>
          <w:rFonts w:eastAsia="Times New Roman" w:cs="David" w:ascii="David" w:hAnsi="David"/>
          <w:b/>
          <w:bCs/>
          <w:sz w:val="24"/>
          <w:szCs w:val="24"/>
        </w:rPr>
        <w:t>5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(</w:t>
      </w:r>
      <w:r>
        <w:rPr>
          <w:rFonts w:eastAsia="Times New Roman" w:cs="David" w:ascii="David" w:hAnsi="David"/>
          <w:b/>
          <w:bCs/>
          <w:sz w:val="24"/>
          <w:szCs w:val="24"/>
        </w:rPr>
        <w:t>21.02.2012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)).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בהתאם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מדיניות הענישה הנהוגה בעבירות אלה היא מדיניות של ענישה מחמירה המחייבת בדרך כלל הטלת עונשי מאסר לריצוי בפועל גם על מי שזו הרשעתו הראשונה 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(</w:t>
      </w:r>
      <w:hyperlink r:id="rId17">
        <w:r>
          <w:rPr>
            <w:rStyle w:val="Hyperlink"/>
            <w:rFonts w:ascii="David" w:hAnsi="David" w:eastAsia="Times New Roman"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b/>
            <w:b/>
            <w:bCs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b/>
            <w:bCs/>
            <w:sz w:val="24"/>
            <w:szCs w:val="24"/>
          </w:rPr>
          <w:t>2006/12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אסדי 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(</w:t>
      </w:r>
      <w:r>
        <w:rPr>
          <w:rFonts w:eastAsia="Times New Roman" w:cs="David" w:ascii="David" w:hAnsi="David"/>
          <w:b/>
          <w:bCs/>
          <w:sz w:val="24"/>
          <w:szCs w:val="24"/>
        </w:rPr>
        <w:t>28.3.2012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), (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: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עניין אסדי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); </w:t>
      </w:r>
      <w:hyperlink r:id="rId18">
        <w:r>
          <w:rPr>
            <w:rStyle w:val="Hyperlink"/>
            <w:rFonts w:ascii="David" w:hAnsi="David" w:eastAsia="Times New Roman"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b/>
            <w:b/>
            <w:bCs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b/>
            <w:bCs/>
            <w:sz w:val="24"/>
            <w:szCs w:val="24"/>
          </w:rPr>
          <w:t>7502/12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כוויס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פסקה </w:t>
      </w:r>
      <w:r>
        <w:rPr>
          <w:rFonts w:eastAsia="Times New Roman" w:cs="David" w:ascii="David" w:hAnsi="David"/>
          <w:b/>
          <w:bCs/>
          <w:sz w:val="24"/>
          <w:szCs w:val="24"/>
        </w:rPr>
        <w:t>6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(</w:t>
      </w:r>
      <w:r>
        <w:rPr>
          <w:rFonts w:eastAsia="Times New Roman" w:cs="David" w:ascii="David" w:hAnsi="David"/>
          <w:b/>
          <w:bCs/>
          <w:sz w:val="24"/>
          <w:szCs w:val="24"/>
        </w:rPr>
        <w:t>25.6.2013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))..."</w:t>
      </w:r>
    </w:p>
    <w:p>
      <w:pPr>
        <w:pStyle w:val="ListParagraph"/>
        <w:spacing w:lineRule="auto" w:line="360" w:before="120" w:after="120"/>
        <w:ind w:end="709"/>
        <w:contextualSpacing/>
        <w:jc w:val="both"/>
        <w:rPr>
          <w:rFonts w:ascii="David" w:hAnsi="David" w:eastAsia="Times New Roman" w:cs="David"/>
          <w:sz w:val="12"/>
          <w:szCs w:val="12"/>
        </w:rPr>
      </w:pPr>
      <w:r>
        <w:rPr>
          <w:rFonts w:eastAsia="Times New Roman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Franklin Gothic Medium" w:hAnsi="Franklin Gothic Medium" w:cs="Franklin Gothic Medium"/>
          <w:rtl w:val="true"/>
        </w:rPr>
        <w:t>כידוע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נשק שהוא מטבעו כלי קטלני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עלול לעבור מיד ליד ולהגיע לידי גורמים שיבצעו באמצעותו עבירות פליליות חמורות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על</w:t>
      </w:r>
      <w:r>
        <w:rPr>
          <w:rFonts w:cs="Franklin Gothic Medium" w:ascii="Franklin Gothic Medium" w:hAnsi="Franklin Gothic Medium"/>
          <w:rtl w:val="true"/>
        </w:rPr>
        <w:t>-</w:t>
      </w:r>
      <w:r>
        <w:rPr>
          <w:rFonts w:ascii="Franklin Gothic Medium" w:hAnsi="Franklin Gothic Medium" w:cs="Franklin Gothic Medium"/>
          <w:rtl w:val="true"/>
        </w:rPr>
        <w:t>כן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פוטנציאל הסיכון הנשקף מהחזקתו ומנשיאתו מחייב הטלת ענישה מחמירה ומרתיעה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 xml:space="preserve">אף אם מבצעי העבירות 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 xml:space="preserve">בחוליות </w:t>
      </w:r>
      <w:r>
        <w:rPr>
          <w:rFonts w:ascii="David" w:hAnsi="David"/>
          <w:rtl w:val="true"/>
          <w:lang w:eastAsia="he-IL"/>
        </w:rPr>
        <w:t>השונות</w:t>
      </w:r>
      <w:r>
        <w:rPr>
          <w:rFonts w:ascii="Franklin Gothic Medium" w:hAnsi="Franklin Gothic Medium" w:cs="Franklin Gothic Medium"/>
          <w:rtl w:val="true"/>
        </w:rPr>
        <w:t xml:space="preserve"> בשרשרת העברת הנשק</w:t>
      </w:r>
      <w:r>
        <w:rPr>
          <w:rFonts w:cs="Franklin Gothic Medium" w:ascii="Franklin Gothic Medium" w:hAnsi="Franklin Gothic Medium"/>
          <w:rtl w:val="true"/>
        </w:rPr>
        <w:t xml:space="preserve">,– </w:t>
      </w:r>
      <w:r>
        <w:rPr>
          <w:rFonts w:ascii="Franklin Gothic Medium" w:hAnsi="Franklin Gothic Medium" w:cs="Franklin Gothic Medium"/>
          <w:rtl w:val="true"/>
        </w:rPr>
        <w:t>אינם מודעים לתכלית השימוש בו</w:t>
      </w:r>
      <w:r>
        <w:rPr>
          <w:rFonts w:cs="Franklin Gothic Medium" w:ascii="Franklin Gothic Medium" w:hAnsi="Franklin Gothic Medium"/>
          <w:rtl w:val="true"/>
        </w:rPr>
        <w:t>.</w:t>
      </w:r>
    </w:p>
    <w:p>
      <w:pPr>
        <w:pStyle w:val="Normal"/>
        <w:spacing w:lineRule="auto" w:line="360" w:before="0" w:after="0"/>
        <w:ind w:start="232" w:end="284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  <w:lang w:eastAsia="he-IL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hyperlink r:id="rId19">
        <w:r>
          <w:rPr>
            <w:rStyle w:val="Hyperlink"/>
            <w:color w:val="0000FF"/>
            <w:rtl w:val="true"/>
          </w:rPr>
          <w:t>בע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1323/13</w:t>
        </w:r>
        <w:r>
          <w:rPr>
            <w:rStyle w:val="Hyperlink"/>
            <w:color w:val="0000FF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>:</w:t>
      </w:r>
    </w:p>
    <w:p>
      <w:pPr>
        <w:pStyle w:val="ListParagraph"/>
        <w:spacing w:lineRule="auto" w:line="360" w:before="0" w:after="0"/>
        <w:ind w:start="1134" w:end="1134"/>
        <w:contextualSpacing/>
        <w:jc w:val="both"/>
        <w:rPr>
          <w:rFonts w:ascii="David" w:hAnsi="David" w:eastAsia="Times New Roman" w:cs="David"/>
          <w:b/>
          <w:bCs/>
          <w:sz w:val="12"/>
          <w:szCs w:val="12"/>
        </w:rPr>
      </w:pPr>
      <w:r>
        <w:rPr>
          <w:rFonts w:eastAsia="Times New Roman"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 w:before="0" w:after="0"/>
        <w:ind w:start="1134" w:end="1134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נוכח היקפן המתרחב של עבירות המבוצעות בנשק בכלל וסחר בנשק בפרט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וזמינותו המדאיגה של נשק בלתי חוקי במחוזותינו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התעורר הצורך להחמיר בעונשי המאסר המוטלים בעבירות אלה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אכן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, 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התגלגלותם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בקטטה בין ניצים ואף בתוך המשפחה פנימה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הסכנה הנשקפת לציבור כתוצאה מעבירות אלה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לצד המימדים שאליהם הגיעו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הגנה על שלום הציבור מפני פגיעות בגוף או בנפש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ולהחמיר את עונשי המאסר המוטלים בגין פעילות עבריינית זאת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בהדרגה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".</w:t>
      </w:r>
    </w:p>
    <w:p>
      <w:pPr>
        <w:pStyle w:val="Normal"/>
        <w:spacing w:lineRule="auto" w:line="360"/>
        <w:ind w:end="1134"/>
        <w:jc w:val="both"/>
        <w:rPr>
          <w:rFonts w:ascii="David" w:hAnsi="David" w:eastAsia="Times New Roman" w:cs="David"/>
          <w:b/>
          <w:bCs/>
          <w:sz w:val="12"/>
          <w:szCs w:val="12"/>
        </w:rPr>
      </w:pPr>
      <w:r>
        <w:rPr>
          <w:rFonts w:eastAsia="Times New Roman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0"/>
        <w:ind w:hanging="374" w:start="232" w:end="284"/>
        <w:contextualSpacing/>
        <w:jc w:val="both"/>
        <w:rPr>
          <w:rFonts w:ascii="David" w:hAnsi="David" w:cs="David"/>
          <w:b/>
          <w:bCs/>
        </w:rPr>
      </w:pPr>
      <w:r>
        <w:rPr>
          <w:rFonts w:ascii="Arial" w:hAnsi="Arial" w:cs="Arial"/>
          <w:rtl w:val="true"/>
        </w:rPr>
        <w:t xml:space="preserve">בהקשר זה </w:t>
      </w:r>
      <w:r>
        <w:rPr>
          <w:rFonts w:ascii="Arial" w:hAnsi="Arial" w:cs="Arial"/>
          <w:rtl w:val="true"/>
        </w:rPr>
        <w:t>יפים הדברים שנאמרו לאחרונה ב</w:t>
      </w:r>
      <w:hyperlink r:id="rId20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8045/17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בראנסי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16.8.18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מינץ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לעניינינו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1134" w:end="567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b/>
          <w:bCs/>
          <w:rtl w:val="true"/>
        </w:rPr>
        <w:t>...</w:t>
      </w:r>
      <w:r>
        <w:rPr>
          <w:rFonts w:ascii="David" w:hAnsi="David"/>
          <w:b/>
          <w:b/>
          <w:bCs/>
          <w:rtl w:val="true"/>
        </w:rPr>
        <w:t>החומרה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היתרה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הכרוכה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והסיכון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הנשקף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מביצוען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מקבלים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תוקף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להיקפיה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התופעה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ואופן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התפשטותה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כמענה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מסתמנת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בפסיקה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מגמה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עקבית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להחמיר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בגין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באופן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שיהלום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מידת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פגיעתן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בערכים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המוגנים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ויקדם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מיגור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התופעה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דהוד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חסן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עספור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משכך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חרף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עיקרון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האינדיבידואלית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והמשקל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ליתן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לנסיבותיו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האישיות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לגופו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בבואו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לגזור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שהורשע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בביצוע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חמורות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לתת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בכורה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לשיקולי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ההרתעה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והאינטרס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הציבורי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hyperlink r:id="rId21">
        <w:r>
          <w:rPr>
            <w:rStyle w:val="Hyperlink"/>
            <w:rFonts w:ascii="David" w:hAnsi="David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</w:rPr>
          <w:t>5643/14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עיסא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23.6.2015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עיסא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נפאע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)."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Fonts w:cs="David" w:ascii="David" w:hAnsi="David"/>
          <w:rtl w:val="true"/>
        </w:rPr>
        <w:t>)</w:t>
      </w:r>
    </w:p>
    <w:p>
      <w:pPr>
        <w:pStyle w:val="Normal"/>
        <w:spacing w:lineRule="auto" w:line="360" w:before="0" w:after="0"/>
        <w:ind w:start="232" w:end="284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0"/>
        <w:ind w:hanging="374" w:start="232" w:end="284"/>
        <w:contextualSpacing/>
        <w:jc w:val="both"/>
        <w:rPr>
          <w:rFonts w:ascii="David" w:hAnsi="David" w:cs="David"/>
        </w:rPr>
      </w:pPr>
      <w:r>
        <w:rPr>
          <w:rFonts w:ascii="Arial" w:hAnsi="Arial" w:cs="Arial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מגוונת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למשל</w:t>
      </w:r>
      <w:r>
        <w:rPr>
          <w:rFonts w:ascii="David" w:hAnsi="David"/>
          <w:rtl w:val="true"/>
        </w:rPr>
        <w:t xml:space="preserve"> –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232" w:end="284"/>
        <w:contextualSpacing/>
        <w:jc w:val="both"/>
        <w:rPr/>
      </w:pPr>
      <w:r>
        <w:rPr>
          <w:rFonts w:ascii="David" w:hAnsi="David"/>
          <w:rtl w:val="true"/>
          <w:lang w:eastAsia="he-IL"/>
        </w:rPr>
        <w:t>ב</w:t>
      </w:r>
      <w:hyperlink r:id="rId22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135/17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סמי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בסל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8.3.17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קיבל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המשפט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העליון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ערעורה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גזר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דינו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המשפט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המחוזי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בחיפה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הושת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לריצוי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ביצוע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החזקה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ונשיאת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סעיף</w:t>
      </w:r>
      <w:r>
        <w:rPr>
          <w:rFonts w:ascii="Arial" w:hAnsi="Arial" w:cs="Arial"/>
          <w:rtl w:val="true"/>
        </w:rPr>
        <w:t xml:space="preserve"> </w:t>
      </w:r>
      <w:hyperlink r:id="rId23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4">
        <w:r>
          <w:rPr>
            <w:rStyle w:val="Hyperlink"/>
            <w:rFonts w:ascii="Arial" w:hAnsi="Arial" w:cs="Arial"/>
            <w:color w:val="0000FF"/>
            <w:rtl w:val="true"/>
          </w:rPr>
          <w:t>חוק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וגזר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עליו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דנן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כבן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לחובתו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איומים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ושבל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בתת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מקלע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ומחסנית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והסתירם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בשביל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קרוב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למשך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שבסופם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והמחסנית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מקרוב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משפחתו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232" w:end="284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  <w:lang w:eastAsia="he-IL"/>
        </w:rPr>
        <w:t>ב</w:t>
      </w:r>
      <w:hyperlink r:id="rId25">
        <w:r>
          <w:rPr>
            <w:rStyle w:val="Hyperlink"/>
            <w:rFonts w:ascii="David" w:hAnsi="David"/>
            <w:color w:val="0000FF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lang w:eastAsia="he-IL"/>
          </w:rPr>
          <w:t>7552/14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יוסף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אגבאריה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cs="David" w:ascii="David" w:hAnsi="David"/>
          <w:lang w:eastAsia="he-IL"/>
        </w:rPr>
        <w:t>23.6.15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>דחה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העליון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ערעור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גזר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דינו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המחוזי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בתל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אביב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במסגרתו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הושת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המערער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עונש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32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בגין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שבוצע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Calibri" w:hAnsi="Calibri" w:cs="Calibri"/>
          <w:sz w:val="12"/>
          <w:szCs w:val="12"/>
          <w:lang w:eastAsia="he-IL"/>
        </w:rPr>
      </w:pPr>
      <w:r>
        <w:rPr>
          <w:rFonts w:cs="Calibri" w:ascii="Calibri" w:hAnsi="Calibri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0" w:after="160"/>
        <w:ind w:start="232" w:end="284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hyperlink r:id="rId26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2186/13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עקול נגד 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18.2.14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בית המשפט העליון לא התערב במתחם ענישה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שנקבע בבית המשפט המחוזי בחיפה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עבירות של נשיאת נשק וסחר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לסוכן משטרתי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232" w:end="284"/>
        <w:contextualSpacing/>
        <w:jc w:val="both"/>
        <w:rPr/>
      </w:pP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526/14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12.03.14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120"/>
        <w:ind w:start="782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232" w:end="284"/>
        <w:contextualSpacing/>
        <w:jc w:val="both"/>
        <w:rPr/>
      </w:pPr>
      <w:r>
        <w:rPr>
          <w:rFonts w:ascii="Arial" w:hAnsi="Arial" w:cs="Arial"/>
          <w:rtl w:val="true"/>
        </w:rPr>
        <w:t>ב</w:t>
      </w:r>
      <w:hyperlink r:id="rId28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נקבע מדרג חומרה לעבירות הנשק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עבירת הסחר מצויה ברף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עבירת נשיאת והובלת הנשק נמצאת ברף הבינוני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עבירת רכישת נשק ואביזר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נמצאת ברף התחתון של עבירות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האירוע נקבע מתחם בשל עבירות של נשיאת והובלת נשק וכן רכישת אביזר של נשק שנע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שם דובר בנשק מסוג קרל גוסטב עם מחסנית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הנאשם בדק את תקינות הנשק כאשר ירה כדור בודד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משפט חרג ממתחם העונש ההולם מטעמי 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והטיל שישה חודשי מאסר שירוצו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דובר בצעיר שהיה 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והנסיבות שהובילו לביצוע העבירות היה פחד וחשש לחייו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במסגרת פסק דין זה חזר בית המשפט העליון והדגיש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כלל בעבירות מסוג זה לא ניתן להסתפק בעונש של 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ראוי להטיל עונש של מאסר שירוצה בבית הכלא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מאחורי סורג ובריח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0"/>
        <w:ind w:hanging="374" w:start="232" w:end="284"/>
        <w:contextualSpacing/>
        <w:jc w:val="both"/>
        <w:rPr/>
      </w:pPr>
      <w:r>
        <w:rPr>
          <w:rFonts w:ascii="David" w:hAnsi="David"/>
          <w:rtl w:val="true"/>
        </w:rPr>
        <w:t>אשר לנסיבות הקשורות בביצוע 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2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יש לתת את הדעת לשיקולים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Franklin Gothic Medium" w:hAnsi="Franklin Gothic Medium" w:cs="Franklin Gothic Medium"/>
          <w:rtl w:val="true"/>
        </w:rPr>
        <w:t>מחד גיסא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עסקינן בעבירות שקדם להם תכנון המוקדם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 xml:space="preserve">נאשם </w:t>
      </w:r>
      <w:r>
        <w:rPr>
          <w:rFonts w:cs="Franklin Gothic Medium" w:ascii="Franklin Gothic Medium" w:hAnsi="Franklin Gothic Medium"/>
        </w:rPr>
        <w:t>1</w:t>
      </w:r>
      <w:r>
        <w:rPr>
          <w:rFonts w:cs="Franklin Gothic Medium" w:ascii="Franklin Gothic Medium" w:hAnsi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תיאם מבעוד מועד את קרות הפגישה ולבסוף גם נפגש עם אנשים נוספים במטרה להשלים בהצלחה את קניית הנשק ואלמלא נתפסו שני הנאשמים בדרכם חזרה על ידי המשטרה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הרי שהיו חוזרים למקום מגוריהם מצוידים בנשק קטלני ובמחסנית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בנוסף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 xml:space="preserve">יש להתחשב בכך שמדובר באקדח מסוג גלוק קליבר </w:t>
      </w:r>
      <w:r>
        <w:rPr>
          <w:rFonts w:cs="Franklin Gothic Medium" w:ascii="Franklin Gothic Medium" w:hAnsi="Franklin Gothic Medium"/>
          <w:rtl w:val="true"/>
        </w:rPr>
        <w:t>"</w:t>
      </w:r>
      <w:r>
        <w:rPr>
          <w:rFonts w:cs="Franklin Gothic Medium" w:ascii="Franklin Gothic Medium" w:hAnsi="Franklin Gothic Medium"/>
        </w:rPr>
        <w:t>9</w:t>
      </w:r>
      <w:r>
        <w:rPr>
          <w:rFonts w:cs="Franklin Gothic Medium" w:ascii="Franklin Gothic Medium" w:hAnsi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מ״מ</w:t>
      </w:r>
      <w:r>
        <w:rPr>
          <w:rFonts w:cs="Franklin Gothic Medium" w:ascii="Franklin Gothic Medium" w:hAnsi="Franklin Gothic Medium"/>
          <w:rtl w:val="true"/>
        </w:rPr>
        <w:t xml:space="preserve">", </w:t>
      </w:r>
      <w:r>
        <w:rPr>
          <w:rFonts w:ascii="Calibri" w:hAnsi="Calibri" w:cs="Calibri"/>
          <w:rtl w:val="true"/>
        </w:rPr>
        <w:t xml:space="preserve">המאפשר ירי לטווח רחוק המיועד לפי טיבו ומהותו לפגיעה בנפש </w:t>
      </w:r>
      <w:r>
        <w:rPr>
          <w:rFonts w:ascii="Arial" w:hAnsi="Arial" w:cs="Arial"/>
          <w:rtl w:val="true"/>
        </w:rPr>
        <w:t>או לגרימת נזק היקפי גדול לגוף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בעל פוטנציאל קטילה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מאידך גיסא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שקלתי את העובדה שמדובר באקדח ולא בנשק ארוך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הנשק נתפס כעבור זמן קצר ו</w:t>
      </w:r>
      <w:r>
        <w:rPr>
          <w:rFonts w:ascii="Calibri" w:hAnsi="Calibri" w:cs="Calibri"/>
          <w:rtl w:val="true"/>
        </w:rPr>
        <w:t>בסופו של דבר לא נגרם נזק ממשי בגין העבירות בהן הורשעו 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 בכך שהנשק היה בחזקתם למשך כשעה וחצי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 שעולה מעובדות כתב האישום 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הם נתפסו על ידי כוחות המשטרה בדרכם חזרה ללוד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חלק מרכזי באירוע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בעוד שחלקו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קטן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הוא נהג ברכב והשתתף בהסתרת הנשק לבקשתו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Times New Roman" w:hAnsi="Times New Roman" w:eastAsia="Times New Roman" w:cs="David"/>
          <w:sz w:val="12"/>
          <w:szCs w:val="12"/>
        </w:rPr>
      </w:pPr>
      <w:r>
        <w:rPr>
          <w:rFonts w:eastAsia="Times New Roman" w:cs="David" w:ascii="Times New Roman" w:hAnsi="Times New Roman"/>
          <w:sz w:val="12"/>
          <w:szCs w:val="12"/>
          <w:rtl w:val="true"/>
        </w:rPr>
      </w:r>
    </w:p>
    <w:p>
      <w:pPr>
        <w:pStyle w:val="Normal"/>
        <w:numPr>
          <w:ilvl w:val="0"/>
          <w:numId w:val="15"/>
        </w:numPr>
        <w:spacing w:lineRule="auto" w:line="360" w:before="0" w:after="0"/>
        <w:ind w:hanging="374" w:start="232" w:end="284"/>
        <w:contextualSpacing/>
        <w:jc w:val="both"/>
        <w:rPr>
          <w:sz w:val="12"/>
          <w:szCs w:val="12"/>
        </w:rPr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sz w:val="12"/>
          <w:sz w:val="12"/>
          <w:szCs w:val="12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-142" w:end="284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-142" w:end="284"/>
        <w:contextualSpacing/>
        <w:jc w:val="both"/>
        <w:rPr>
          <w:sz w:val="12"/>
          <w:szCs w:val="12"/>
        </w:rPr>
      </w:pPr>
      <w:r>
        <w:rPr>
          <w:bCs/>
          <w:u w:val="single"/>
          <w:rtl w:val="true"/>
          <w:lang w:eastAsia="he-IL"/>
        </w:rPr>
        <w:t>סוגיית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הסטייה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מהמתחם</w:t>
      </w:r>
    </w:p>
    <w:p>
      <w:pPr>
        <w:pStyle w:val="Normal"/>
        <w:numPr>
          <w:ilvl w:val="0"/>
          <w:numId w:val="15"/>
        </w:numPr>
        <w:spacing w:lineRule="auto" w:line="360" w:before="0" w:after="0"/>
        <w:ind w:hanging="374" w:start="232" w:end="284"/>
        <w:contextualSpacing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מסר כי הנאשמים נטלו אחריות חלקית למעשיהם והתקשו להכיר בהשלכות החמורות של 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ובהתחשב בעובדה כי שירות המבחן אף לא בא בהמלצה טיפולית בעניינם של הנאשמים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-142" w:end="284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-142" w:end="284"/>
        <w:contextualSpacing/>
        <w:jc w:val="both"/>
        <w:rPr/>
      </w:pP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</w:p>
    <w:p>
      <w:pPr>
        <w:pStyle w:val="Normal"/>
        <w:numPr>
          <w:ilvl w:val="0"/>
          <w:numId w:val="15"/>
        </w:numPr>
        <w:spacing w:lineRule="auto" w:line="360" w:before="0" w:after="0"/>
        <w:ind w:hanging="374" w:start="232" w:end="284"/>
        <w:contextualSpacing/>
        <w:jc w:val="both"/>
        <w:rPr>
          <w:bCs/>
          <w:u w:val="single"/>
          <w:lang w:eastAsia="he-IL"/>
        </w:rPr>
      </w:pPr>
      <w:r>
        <w:rPr>
          <w:rFonts w:ascii="David" w:hAnsi="David"/>
          <w:rtl w:val="true"/>
        </w:rPr>
        <w:t>בגזירת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סעיף</w:t>
      </w:r>
      <w:r>
        <w:rPr>
          <w:rFonts w:ascii="David" w:hAnsi="David"/>
          <w:rtl w:val="true"/>
        </w:rPr>
        <w:t xml:space="preserve"> </w:t>
      </w:r>
      <w:hyperlink r:id="rId30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Cs/>
          <w:sz w:val="12"/>
          <w:szCs w:val="12"/>
          <w:u w:val="single"/>
          <w:lang w:eastAsia="he-IL"/>
        </w:rPr>
      </w:pPr>
      <w:r>
        <w:rPr>
          <w:rFonts w:cs="David" w:ascii="David" w:hAnsi="David"/>
          <w:bCs/>
          <w:sz w:val="12"/>
          <w:szCs w:val="12"/>
          <w:u w:val="single"/>
          <w:rtl w:val="true"/>
          <w:lang w:eastAsia="he-IL"/>
        </w:rPr>
      </w:r>
    </w:p>
    <w:p>
      <w:pPr>
        <w:pStyle w:val="Normal"/>
        <w:numPr>
          <w:ilvl w:val="1"/>
          <w:numId w:val="17"/>
        </w:numPr>
        <w:spacing w:lineRule="auto" w:line="360" w:before="0" w:after="0"/>
        <w:ind w:hanging="360" w:start="1080" w:end="284"/>
        <w:contextualSpacing/>
        <w:jc w:val="both"/>
        <w:rPr>
          <w:rFonts w:ascii="David" w:hAnsi="David" w:cs="David"/>
        </w:rPr>
      </w:pP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;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וידוע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הנאשם במשך למעלה מחצי שנה במעצר באיזוק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שהה בתנאים מגבלים למשך עוד שלושה 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080" w:end="284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13"/>
        </w:numPr>
        <w:spacing w:lineRule="auto" w:line="360" w:before="0" w:after="0"/>
        <w:ind w:hanging="360" w:start="1080" w:end="284"/>
        <w:contextualSpacing/>
        <w:jc w:val="both"/>
        <w:rPr>
          <w:sz w:val="12"/>
          <w:szCs w:val="12"/>
        </w:rPr>
      </w:pP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מיציב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080" w:end="284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1"/>
          <w:numId w:val="13"/>
        </w:numPr>
        <w:spacing w:lineRule="auto" w:line="360" w:before="0" w:after="0"/>
        <w:ind w:hanging="360" w:start="1080" w:end="284"/>
        <w:contextualSpacing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העדרו</w:t>
      </w:r>
      <w:r>
        <w:rPr>
          <w:rtl w:val="true"/>
        </w:rPr>
        <w:t xml:space="preserve">;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080" w:end="284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 w:before="0" w:after="0"/>
        <w:ind w:hanging="374" w:start="232" w:end="284"/>
        <w:contextualSpacing/>
        <w:jc w:val="both"/>
        <w:rPr>
          <w:bCs/>
          <w:u w:val="single"/>
          <w:lang w:eastAsia="he-IL"/>
        </w:rPr>
      </w:pPr>
      <w:r>
        <w:rPr>
          <w:rFonts w:ascii="David" w:hAnsi="David"/>
          <w:rtl w:val="true"/>
        </w:rPr>
        <w:t>בגזירת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סעיף</w:t>
      </w:r>
      <w:r>
        <w:rPr>
          <w:rFonts w:ascii="David" w:hAnsi="David"/>
          <w:rtl w:val="true"/>
        </w:rPr>
        <w:t xml:space="preserve"> </w:t>
      </w:r>
      <w:hyperlink r:id="rId31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start="720" w:end="284"/>
        <w:contextualSpacing/>
        <w:jc w:val="both"/>
        <w:rPr>
          <w:rFonts w:ascii="David" w:hAnsi="David" w:cs="David"/>
          <w:bCs/>
          <w:sz w:val="12"/>
          <w:szCs w:val="12"/>
          <w:u w:val="single"/>
          <w:lang w:eastAsia="he-IL"/>
        </w:rPr>
      </w:pPr>
      <w:r>
        <w:rPr>
          <w:rFonts w:cs="David" w:ascii="David" w:hAnsi="David"/>
          <w:bCs/>
          <w:sz w:val="12"/>
          <w:szCs w:val="12"/>
          <w:u w:val="single"/>
          <w:rtl w:val="true"/>
          <w:lang w:eastAsia="he-IL"/>
        </w:rPr>
      </w:r>
    </w:p>
    <w:p>
      <w:pPr>
        <w:pStyle w:val="Normal"/>
        <w:numPr>
          <w:ilvl w:val="1"/>
          <w:numId w:val="13"/>
        </w:numPr>
        <w:spacing w:lineRule="auto" w:line="360" w:before="0" w:after="0"/>
        <w:ind w:hanging="360" w:start="1080" w:end="284"/>
        <w:contextualSpacing/>
        <w:jc w:val="both"/>
        <w:rPr>
          <w:rFonts w:ascii="David" w:hAnsi="David" w:cs="David"/>
        </w:rPr>
      </w:pP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;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ממוגבלות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וידוע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הנאשם במשך למעלה מחצי שנה במעצר באיזוק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שהה בתנאים מגבלים למשך עוד שלושה 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080" w:end="284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13"/>
        </w:numPr>
        <w:spacing w:lineRule="auto" w:line="360" w:before="0" w:after="0"/>
        <w:ind w:hanging="360" w:start="1080" w:end="284"/>
        <w:contextualSpacing/>
        <w:jc w:val="both"/>
        <w:rPr>
          <w:bCs/>
          <w:u w:val="single"/>
          <w:lang w:eastAsia="he-IL"/>
        </w:rPr>
      </w:pP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והמסוכנות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080" w:end="284"/>
        <w:contextualSpacing/>
        <w:jc w:val="both"/>
        <w:rPr>
          <w:bCs/>
          <w:sz w:val="12"/>
          <w:szCs w:val="12"/>
          <w:u w:val="single"/>
          <w:lang w:eastAsia="he-IL"/>
        </w:rPr>
      </w:pPr>
      <w:r>
        <w:rPr>
          <w:bCs/>
          <w:sz w:val="12"/>
          <w:szCs w:val="12"/>
          <w:u w:val="single"/>
          <w:rtl w:val="true"/>
          <w:lang w:eastAsia="he-IL"/>
        </w:rPr>
      </w:r>
    </w:p>
    <w:p>
      <w:pPr>
        <w:pStyle w:val="Normal"/>
        <w:numPr>
          <w:ilvl w:val="1"/>
          <w:numId w:val="13"/>
        </w:numPr>
        <w:spacing w:lineRule="auto" w:line="360" w:before="0" w:after="0"/>
        <w:ind w:hanging="360" w:start="1080" w:end="284"/>
        <w:contextualSpacing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העדרו</w:t>
      </w:r>
      <w:r>
        <w:rPr>
          <w:rtl w:val="true"/>
        </w:rPr>
        <w:t xml:space="preserve">;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שהתיישנו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360" w:end="284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360" w:before="0" w:after="0"/>
        <w:ind w:hanging="357" w:start="278" w:end="284"/>
        <w:contextualSpacing/>
        <w:jc w:val="both"/>
        <w:rPr>
          <w:rFonts w:eastAsia="Times New Roman" w:cs="David"/>
          <w:bCs/>
          <w:sz w:val="24"/>
          <w:szCs w:val="24"/>
          <w:u w:val="single"/>
          <w:lang w:eastAsia="he-IL"/>
        </w:rPr>
      </w:pPr>
      <w:r>
        <w:rPr>
          <w:rFonts w:eastAsia="Times New Roman"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בהרתעת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הרבים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ובהרתעת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היחיד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מתסקירי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המבחן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בית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המשפט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העליון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חזר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גישתו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המחמירה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בעבירות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נשק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hyperlink r:id="rId32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lang w:eastAsia="he-IL"/>
          </w:rPr>
          <w:t>5681/14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  <w:lang w:eastAsia="he-IL"/>
          </w:rPr>
          <w:t xml:space="preserve"> 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  <w:lang w:eastAsia="he-IL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  <w:lang w:eastAsia="he-IL"/>
        </w:rPr>
        <w:t>ישראל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  <w:lang w:eastAsia="he-IL"/>
        </w:rPr>
        <w:t>נ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  <w:lang w:eastAsia="he-IL"/>
        </w:rPr>
        <w:t>טאטור</w:t>
      </w:r>
      <w:r>
        <w:rPr>
          <w:rFonts w:eastAsia="Times New Roman" w:cs="David" w:ascii="Times New Roman" w:hAnsi="Times New Roman"/>
          <w:sz w:val="24"/>
          <w:szCs w:val="24"/>
          <w:rtl w:val="true"/>
          <w:lang w:eastAsia="he-IL"/>
        </w:rPr>
        <w:t>(</w:t>
      </w:r>
      <w:r>
        <w:rPr>
          <w:rFonts w:eastAsia="Times New Roman" w:cs="David" w:ascii="Times New Roman" w:hAnsi="Times New Roman"/>
          <w:sz w:val="24"/>
          <w:szCs w:val="24"/>
          <w:lang w:eastAsia="he-IL"/>
        </w:rPr>
        <w:t>1.2.15</w:t>
      </w:r>
      <w:r>
        <w:rPr>
          <w:rFonts w:eastAsia="Times New Roman" w:cs="David" w:ascii="Times New Roman" w:hAnsi="Times New Roman"/>
          <w:sz w:val="24"/>
          <w:szCs w:val="24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בקבעו</w:t>
      </w:r>
      <w:r>
        <w:rPr>
          <w:rFonts w:eastAsia="Times New Roman"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  <w:lang w:eastAsia="he-IL"/>
        </w:rPr>
        <w:t>כי</w:t>
      </w:r>
      <w:r>
        <w:rPr>
          <w:rFonts w:eastAsia="Times New Roman" w:cs="David" w:ascii="Times New Roman" w:hAnsi="Times New Roman"/>
          <w:sz w:val="24"/>
          <w:szCs w:val="24"/>
          <w:rtl w:val="true"/>
          <w:lang w:eastAsia="he-IL"/>
        </w:rPr>
        <w:t>: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eastAsia="Times New Roman" w:cs="David"/>
          <w:bCs/>
          <w:sz w:val="12"/>
          <w:szCs w:val="12"/>
          <w:u w:val="single"/>
          <w:lang w:eastAsia="he-IL"/>
        </w:rPr>
      </w:pPr>
      <w:r>
        <w:rPr>
          <w:rFonts w:eastAsia="Times New Roman" w:cs="David"/>
          <w:bCs/>
          <w:sz w:val="12"/>
          <w:szCs w:val="12"/>
          <w:u w:val="single"/>
          <w:rtl w:val="true"/>
          <w:lang w:eastAsia="he-IL"/>
        </w:rPr>
      </w:r>
    </w:p>
    <w:p>
      <w:pPr>
        <w:pStyle w:val="Normal"/>
        <w:spacing w:lineRule="auto" w:line="360" w:before="120" w:after="120"/>
        <w:ind w:start="1701" w:end="1560"/>
        <w:contextualSpacing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דרך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המלך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בכגון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דא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בסופו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צריכה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ככלל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מאחורי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סורג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ובריח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וזאת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בראש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וראשונה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להרתעת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היחיד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והרבים</w:t>
      </w:r>
      <w:r>
        <w:rPr>
          <w:b/>
          <w:bCs/>
          <w:rtl w:val="true"/>
          <w:lang w:eastAsia="he-IL"/>
        </w:rPr>
        <w:t xml:space="preserve">; </w:t>
      </w:r>
      <w:r>
        <w:rPr>
          <w:b/>
          <w:b/>
          <w:bCs/>
          <w:rtl w:val="true"/>
          <w:lang w:eastAsia="he-IL"/>
        </w:rPr>
        <w:t>אורך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התקופה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כרוך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כמובן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הספציפיות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והמעשה</w:t>
      </w:r>
      <w:r>
        <w:rPr>
          <w:b/>
          <w:bCs/>
          <w:rtl w:val="true"/>
          <w:lang w:eastAsia="he-IL"/>
        </w:rPr>
        <w:t>...</w:t>
      </w:r>
      <w:r>
        <w:rPr>
          <w:b/>
          <w:b/>
          <w:bCs/>
          <w:rtl w:val="true"/>
          <w:lang w:eastAsia="he-IL"/>
        </w:rPr>
        <w:t>אך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הישראליות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בידיים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מורשות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עלול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להתגלגל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למקום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טוב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וכדברי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האומר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מחזה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שבמערכתו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הראשונה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נראה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אקדח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עשוי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האקדח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במערכה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האחרונה</w:t>
      </w:r>
      <w:r>
        <w:rPr>
          <w:b/>
          <w:bCs/>
          <w:rtl w:val="true"/>
          <w:lang w:eastAsia="he-IL"/>
        </w:rPr>
        <w:t xml:space="preserve">'..." </w:t>
      </w:r>
    </w:p>
    <w:p>
      <w:pPr>
        <w:pStyle w:val="Normal"/>
        <w:spacing w:lineRule="auto" w:line="360" w:before="0" w:after="0"/>
        <w:ind w:start="1134" w:end="1134"/>
        <w:contextualSpacing/>
        <w:jc w:val="both"/>
        <w:rPr>
          <w:b/>
          <w:bCs/>
          <w:sz w:val="12"/>
          <w:szCs w:val="12"/>
          <w:lang w:eastAsia="he-IL"/>
        </w:rPr>
      </w:pPr>
      <w:r>
        <w:rPr>
          <w:b/>
          <w:bCs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0" w:after="0"/>
        <w:ind w:start="1134" w:end="1134"/>
        <w:contextualSpacing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360" w:before="0" w:after="0"/>
        <w:ind w:hanging="357" w:start="278" w:end="284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באיזון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David"/>
          <w:sz w:val="24"/>
          <w:sz w:val="24"/>
          <w:szCs w:val="24"/>
          <w:rtl w:val="true"/>
        </w:rPr>
        <w:t>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הנמוך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לנקוט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הרתעתית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ומוחשית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שתבהיר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David"/>
          <w:sz w:val="24"/>
          <w:sz w:val="24"/>
          <w:szCs w:val="24"/>
          <w:rtl w:val="true"/>
        </w:rPr>
        <w:t>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במאסרו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5"/>
        </w:numPr>
        <w:spacing w:lineRule="auto" w:line="360" w:before="0" w:after="0"/>
        <w:ind w:hanging="357" w:start="278" w:end="284"/>
        <w:contextualSpacing/>
        <w:jc w:val="both"/>
        <w:rPr>
          <w:rFonts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האמור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החלטתי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להטיל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העונשים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 w:before="120" w:after="120"/>
        <w:ind w:end="0"/>
        <w:contextualSpacing/>
        <w:jc w:val="both"/>
        <w:rPr>
          <w:rFonts w:eastAsia="Times New Roman" w:cs="David"/>
          <w:bCs/>
          <w:sz w:val="24"/>
          <w:szCs w:val="24"/>
          <w:u w:val="single"/>
          <w:lang w:eastAsia="he-IL"/>
        </w:rPr>
      </w:pPr>
      <w:r>
        <w:rPr>
          <w:rFonts w:eastAsia="Times New Roman" w:cs="David"/>
          <w:bCs/>
          <w:sz w:val="24"/>
          <w:szCs w:val="24"/>
          <w:u w:val="single"/>
          <w:rtl w:val="true"/>
          <w:lang w:eastAsia="he-IL"/>
        </w:rPr>
      </w:r>
    </w:p>
    <w:p>
      <w:pPr>
        <w:pStyle w:val="ListParagraph"/>
        <w:spacing w:lineRule="auto" w:line="360" w:before="120" w:after="120"/>
        <w:ind w:end="0"/>
        <w:contextualSpacing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bCs/>
          <w:sz w:val="24"/>
          <w:sz w:val="24"/>
          <w:szCs w:val="24"/>
          <w:u w:val="single"/>
          <w:rtl w:val="true"/>
          <w:lang w:eastAsia="he-IL"/>
        </w:rPr>
        <w:t>נאשם</w:t>
      </w:r>
      <w:r>
        <w:rPr>
          <w:rFonts w:eastAsia="Calibri" w:cs="Calibri"/>
          <w:bCs/>
          <w:sz w:val="24"/>
          <w:sz w:val="24"/>
          <w:szCs w:val="24"/>
          <w:u w:val="single"/>
          <w:rtl w:val="true"/>
          <w:lang w:eastAsia="he-IL"/>
        </w:rPr>
        <w:t xml:space="preserve"> </w:t>
      </w:r>
      <w:r>
        <w:rPr>
          <w:rFonts w:eastAsia="Times New Roman" w:cs="David"/>
          <w:bCs/>
          <w:sz w:val="24"/>
          <w:szCs w:val="24"/>
          <w:u w:val="single"/>
          <w:lang w:eastAsia="he-IL"/>
        </w:rPr>
        <w:t>1</w:t>
      </w:r>
    </w:p>
    <w:p>
      <w:pPr>
        <w:pStyle w:val="Normal"/>
        <w:numPr>
          <w:ilvl w:val="1"/>
          <w:numId w:val="16"/>
        </w:numPr>
        <w:spacing w:lineRule="auto" w:line="360" w:before="0" w:after="0"/>
        <w:ind w:hanging="360" w:start="1980" w:end="0"/>
        <w:contextualSpacing/>
        <w:jc w:val="both"/>
        <w:rPr/>
      </w:pP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98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1"/>
          <w:numId w:val="16"/>
        </w:numPr>
        <w:spacing w:lineRule="auto" w:line="360" w:before="0" w:after="0"/>
        <w:ind w:hanging="360" w:start="1980" w:end="0"/>
        <w:contextualSpacing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98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1"/>
          <w:numId w:val="16"/>
        </w:numPr>
        <w:spacing w:lineRule="auto" w:line="360" w:before="0" w:after="0"/>
        <w:ind w:hanging="360" w:start="1980" w:end="0"/>
        <w:contextualSpacing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98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1"/>
          <w:numId w:val="16"/>
        </w:numPr>
        <w:spacing w:lineRule="auto" w:line="360" w:before="0" w:after="0"/>
        <w:ind w:hanging="360" w:start="1980" w:end="0"/>
        <w:contextualSpacing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ListParagraph"/>
        <w:spacing w:lineRule="auto" w:line="360" w:before="120" w:after="120"/>
        <w:ind w:end="0"/>
        <w:contextualSpacing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bCs/>
          <w:sz w:val="24"/>
          <w:sz w:val="24"/>
          <w:szCs w:val="24"/>
          <w:u w:val="single"/>
          <w:rtl w:val="true"/>
          <w:lang w:eastAsia="he-IL"/>
        </w:rPr>
        <w:t>נאשם</w:t>
      </w:r>
      <w:r>
        <w:rPr>
          <w:rFonts w:eastAsia="Calibri" w:cs="Calibri"/>
          <w:bCs/>
          <w:sz w:val="24"/>
          <w:sz w:val="24"/>
          <w:szCs w:val="24"/>
          <w:u w:val="single"/>
          <w:rtl w:val="true"/>
          <w:lang w:eastAsia="he-IL"/>
        </w:rPr>
        <w:t xml:space="preserve"> </w:t>
      </w:r>
      <w:r>
        <w:rPr>
          <w:rFonts w:eastAsia="Times New Roman" w:cs="David"/>
          <w:bCs/>
          <w:sz w:val="24"/>
          <w:szCs w:val="24"/>
          <w:u w:val="single"/>
          <w:lang w:eastAsia="he-IL"/>
        </w:rPr>
        <w:t>2</w:t>
      </w:r>
    </w:p>
    <w:p>
      <w:pPr>
        <w:pStyle w:val="Normal"/>
        <w:numPr>
          <w:ilvl w:val="0"/>
          <w:numId w:val="14"/>
        </w:numPr>
        <w:spacing w:lineRule="auto" w:line="360" w:before="0" w:after="0"/>
        <w:ind w:hanging="360" w:start="1980" w:end="0"/>
        <w:contextualSpacing/>
        <w:jc w:val="both"/>
        <w:rPr/>
      </w:pP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98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14"/>
        </w:numPr>
        <w:spacing w:lineRule="auto" w:line="360" w:before="0" w:after="0"/>
        <w:ind w:hanging="360" w:start="1980" w:end="0"/>
        <w:contextualSpacing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98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14"/>
        </w:numPr>
        <w:spacing w:lineRule="auto" w:line="360" w:before="0" w:after="0"/>
        <w:ind w:hanging="360" w:start="1980" w:end="0"/>
        <w:contextualSpacing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98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 </w:t>
      </w:r>
      <w:r>
        <w:rPr/>
        <w:t>7.4.19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14.4.19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הדרים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</w:t>
      </w:r>
      <w:r>
        <w:rPr>
          <w:rtl w:val="true"/>
        </w:rPr>
        <w:t>-</w:t>
      </w:r>
      <w:r>
        <w:rPr>
          <w:rtl w:val="true"/>
        </w:rPr>
        <w:t>דינם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ListParagraph"/>
        <w:spacing w:lineRule="auto" w:line="360" w:before="120" w:after="120"/>
        <w:ind w:end="0"/>
        <w:contextualSpacing/>
        <w:jc w:val="both"/>
        <w:rPr>
          <w:rFonts w:eastAsia="Times New Roman" w:cs="David"/>
          <w:b/>
          <w:bCs/>
          <w:sz w:val="24"/>
          <w:szCs w:val="24"/>
        </w:rPr>
      </w:pPr>
      <w:r>
        <w:rPr>
          <w:rFonts w:eastAsia="Times New Roman" w:cs="David"/>
          <w:b/>
          <w:bCs/>
          <w:sz w:val="24"/>
          <w:szCs w:val="24"/>
          <w:rtl w:val="true"/>
        </w:rPr>
      </w:r>
    </w:p>
    <w:p>
      <w:pPr>
        <w:pStyle w:val="Normal"/>
        <w:ind w:end="0"/>
        <w:jc w:val="center"/>
        <w:rPr/>
      </w:pPr>
      <w:r>
        <w:rPr>
          <w:rFonts w:cs="Arial" w:ascii="Arial" w:hAnsi="Arial"/>
          <w:color w:val="FFFFFF"/>
          <w:sz w:val="2"/>
          <w:szCs w:val="2"/>
        </w:rPr>
        <w:t>512971</w:t>
      </w:r>
      <w:r>
        <w:rPr>
          <w:rFonts w:ascii="Arial" w:hAnsi="Arial" w:cs="Arial"/>
          <w:color w:val="FFFFFF"/>
          <w:sz w:val="2"/>
          <w:sz w:val="2"/>
          <w:szCs w:val="2"/>
          <w:rtl w:val="true"/>
        </w:rPr>
        <w:t>ניתן היום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,  </w:t>
      </w:r>
      <w:r>
        <w:rPr>
          <w:rFonts w:ascii="Arial" w:hAnsi="Arial" w:cs="Arial"/>
          <w:color w:val="FFFFFF"/>
          <w:sz w:val="2"/>
          <w:sz w:val="2"/>
          <w:szCs w:val="2"/>
          <w:rtl w:val="true"/>
        </w:rPr>
        <w:t>יח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' </w:t>
      </w:r>
      <w:r>
        <w:rPr>
          <w:rFonts w:ascii="Arial" w:hAnsi="Arial" w:cs="Arial"/>
          <w:color w:val="FFFFFF"/>
          <w:sz w:val="2"/>
          <w:sz w:val="2"/>
          <w:szCs w:val="2"/>
          <w:rtl w:val="true"/>
        </w:rPr>
        <w:t>אדר ב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' </w:t>
      </w:r>
      <w:r>
        <w:rPr>
          <w:rFonts w:ascii="Arial" w:hAnsi="Arial" w:cs="Arial"/>
          <w:color w:val="FFFFFF"/>
          <w:sz w:val="2"/>
          <w:sz w:val="2"/>
          <w:szCs w:val="2"/>
          <w:rtl w:val="true"/>
        </w:rPr>
        <w:t>תשע</w:t>
      </w:r>
      <w:r>
        <w:rPr>
          <w:rFonts w:cs="Arial" w:ascii="Arial" w:hAnsi="Arial"/>
          <w:color w:val="FFFFFF"/>
          <w:sz w:val="2"/>
          <w:szCs w:val="2"/>
          <w:rtl w:val="true"/>
        </w:rPr>
        <w:t>"</w:t>
      </w:r>
      <w:r>
        <w:rPr>
          <w:rFonts w:ascii="Arial" w:hAnsi="Arial" w:cs="Arial"/>
          <w:color w:val="FFFFFF"/>
          <w:sz w:val="2"/>
          <w:sz w:val="2"/>
          <w:szCs w:val="2"/>
          <w:rtl w:val="true"/>
        </w:rPr>
        <w:t>ט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, </w:t>
      </w:r>
      <w:r>
        <w:rPr>
          <w:rFonts w:cs="Arial" w:ascii="Arial" w:hAnsi="Arial"/>
          <w:color w:val="FFFFFF"/>
          <w:sz w:val="2"/>
          <w:szCs w:val="2"/>
        </w:rPr>
        <w:t>25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 </w:t>
      </w:r>
      <w:r>
        <w:rPr>
          <w:rFonts w:ascii="Arial" w:hAnsi="Arial" w:cs="Arial"/>
          <w:color w:val="FFFFFF"/>
          <w:sz w:val="2"/>
          <w:sz w:val="2"/>
          <w:szCs w:val="2"/>
          <w:rtl w:val="true"/>
        </w:rPr>
        <w:t xml:space="preserve">מרץ </w:t>
      </w:r>
      <w:r>
        <w:rPr>
          <w:rFonts w:cs="Arial" w:ascii="Arial" w:hAnsi="Arial"/>
          <w:color w:val="FFFFFF"/>
          <w:sz w:val="2"/>
          <w:szCs w:val="2"/>
        </w:rPr>
        <w:t>2019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, </w:t>
      </w:r>
      <w:r>
        <w:rPr>
          <w:rFonts w:ascii="Arial" w:hAnsi="Arial" w:cs="Arial"/>
          <w:color w:val="FFFFFF"/>
          <w:sz w:val="2"/>
          <w:sz w:val="2"/>
          <w:szCs w:val="2"/>
          <w:rtl w:val="true"/>
        </w:rPr>
        <w:t>במעמד ב</w:t>
      </w:r>
      <w:r>
        <w:rPr>
          <w:rFonts w:cs="Arial" w:ascii="Arial" w:hAnsi="Arial"/>
          <w:color w:val="FFFFFF"/>
          <w:sz w:val="2"/>
          <w:szCs w:val="2"/>
          <w:rtl w:val="true"/>
        </w:rPr>
        <w:t>"</w:t>
      </w:r>
      <w:r>
        <w:rPr>
          <w:rFonts w:ascii="Arial" w:hAnsi="Arial" w:cs="Arial"/>
          <w:color w:val="FFFFFF"/>
          <w:sz w:val="2"/>
          <w:sz w:val="2"/>
          <w:szCs w:val="2"/>
          <w:rtl w:val="true"/>
        </w:rPr>
        <w:t>כ הצדדים והנאשמים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.  </w:t>
      </w:r>
      <w:r>
        <w:rPr>
          <w:rtl w:val="true"/>
        </w:rPr>
        <w:t xml:space="preserve">   </w:t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Times New (W1)">
    <w:altName w:val="Times New Roman"/>
    <w:charset w:val="00" w:characterSet="windows-1252"/>
    <w:family w:val="roman"/>
    <w:pitch w:val="variable"/>
  </w:font>
  <w:font w:name="A028 Extrabold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Franklin Gothic Mediu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56073-05-18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איברהים אזברגה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cs="David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080" w:hanging="360"/>
      </w:pPr>
      <w:rPr>
        <w:dstrike w:val="false"/>
        <w:strike w:val="false"/>
        <w:sz w:val="24"/>
        <w:u w:val="none"/>
        <w:b/>
        <w:szCs w:val="24"/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0"/>
        </w:tabs>
        <w:ind w:start="1800" w:hanging="720"/>
      </w:pPr>
      <w:rPr>
        <w:u w:val="single"/>
        <w:b/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0"/>
        </w:tabs>
        <w:ind w:start="2160" w:hanging="720"/>
      </w:pPr>
      <w:rPr>
        <w:u w:val="single"/>
        <w:b/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0"/>
        </w:tabs>
        <w:ind w:start="2880" w:hanging="1080"/>
      </w:pPr>
      <w:rPr>
        <w:u w:val="single"/>
        <w:b/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0"/>
        </w:tabs>
        <w:ind w:start="3240" w:hanging="1080"/>
      </w:pPr>
      <w:rPr>
        <w:u w:val="single"/>
        <w:b/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0"/>
        </w:tabs>
        <w:ind w:start="3600" w:hanging="1080"/>
      </w:pPr>
      <w:rPr>
        <w:u w:val="single"/>
        <w:b/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0"/>
        </w:tabs>
        <w:ind w:start="4320" w:hanging="1440"/>
      </w:pPr>
      <w:rPr>
        <w:u w:val="single"/>
        <w:b/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0"/>
        </w:tabs>
        <w:ind w:start="4680" w:hanging="1440"/>
      </w:pPr>
      <w:rPr>
        <w:u w:val="single"/>
        <w:b/>
        <w:rFonts w:cs="Times New Roman"/>
      </w:rPr>
    </w:lvl>
  </w:abstractNum>
  <w:abstractNum w:abstractNumId="14">
    <w:lvl w:ilvl="0">
      <w:start w:val="1"/>
      <w:numFmt w:val="hebrew1"/>
      <w:lvlText w:val="%1."/>
      <w:lvlJc w:val="center"/>
      <w:pPr>
        <w:tabs>
          <w:tab w:val="num" w:pos="1980"/>
        </w:tabs>
        <w:ind w:start="1980" w:hanging="360"/>
      </w:pPr>
      <w:rPr>
        <w:rFonts w:ascii="A028 Extrabold;Times New Roman" w:hAnsi="A028 Extrabold;Times New Roman" w:cs="David"/>
      </w:rPr>
    </w:lvl>
  </w:abstractNum>
  <w:abstractNum w:abstractNumId="15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16">
    <w:lvl w:ilvl="0">
      <w:start w:val="1"/>
      <w:numFmt w:val="hebrew1"/>
      <w:lvlText w:val="%1."/>
      <w:lvlJc w:val="center"/>
      <w:pPr>
        <w:tabs>
          <w:tab w:val="num" w:pos="1080"/>
        </w:tabs>
        <w:ind w:start="1080" w:hanging="720"/>
      </w:pPr>
      <w:rPr>
        <w:rFonts w:ascii="A028 Extrabold;Times New Roman" w:hAnsi="A028 Extrabold;Times New Roman" w:cs="David"/>
      </w:rPr>
    </w:lvl>
    <w:lvl w:ilvl="1">
      <w:start w:val="1"/>
      <w:numFmt w:val="hebrew1"/>
      <w:lvlText w:val="%2."/>
      <w:lvlJc w:val="center"/>
      <w:pPr>
        <w:tabs>
          <w:tab w:val="num" w:pos="1980"/>
        </w:tabs>
        <w:ind w:start="1980" w:hanging="360"/>
      </w:pPr>
      <w:rPr>
        <w:rFonts w:ascii="A028 Extrabold;Times New Roman" w:hAnsi="A028 Extrabold;Times New Roman" w:cs="David"/>
      </w:rPr>
    </w:lvl>
    <w:lvl w:ilvl="2">
      <w:start w:val="1"/>
      <w:numFmt w:val="decimal"/>
      <w:lvlText w:val="(%3)"/>
      <w:lvlJc w:val="start"/>
      <w:pPr>
        <w:tabs>
          <w:tab w:val="num" w:pos="2700"/>
        </w:tabs>
        <w:ind w:start="270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960"/>
        </w:tabs>
        <w:ind w:start="396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680"/>
        </w:tabs>
        <w:ind w:start="468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6120"/>
        </w:tabs>
        <w:ind w:start="612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840"/>
        </w:tabs>
        <w:ind w:star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3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cs="Times New Roman"/>
      <w:color w:val="1F4D7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cs="Times New Roman"/>
      <w:color w:val="2E74B5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cs="Times New Roman"/>
      <w:color w:val="1F4D78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cs="Times New Roman"/>
      <w:i/>
      <w:iCs/>
      <w:color w:val="1F4D78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David" w:hAnsi="David" w:cs="David"/>
      <w:b w:val="false"/>
      <w:bCs w:val="false"/>
      <w:sz w:val="24"/>
      <w:szCs w:val="24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ascii="Times New (W1);Times New Roman" w:hAnsi="Times New (W1);Times New Roman" w:cs="Times New (W1);Times New Roman"/>
      <w:color w:val="000000"/>
    </w:rPr>
  </w:style>
  <w:style w:type="character" w:styleId="WW8Num13z0">
    <w:name w:val="WW8Num13z0"/>
    <w:qFormat/>
    <w:rPr>
      <w:rFonts w:cs="David"/>
      <w:b w:val="false"/>
      <w:bCs w:val="false"/>
    </w:rPr>
  </w:style>
  <w:style w:type="character" w:styleId="WW8Num13z1">
    <w:name w:val="WW8Num13z1"/>
    <w:qFormat/>
    <w:rPr>
      <w:rFonts w:cs="Times New Roman"/>
      <w:b/>
      <w:strike w:val="false"/>
      <w:dstrike w:val="false"/>
      <w:sz w:val="24"/>
      <w:szCs w:val="24"/>
      <w:u w:val="none"/>
    </w:rPr>
  </w:style>
  <w:style w:type="character" w:styleId="WW8Num13z2">
    <w:name w:val="WW8Num13z2"/>
    <w:qFormat/>
    <w:rPr>
      <w:rFonts w:cs="Times New Roman"/>
      <w:b/>
      <w:u w:val="single"/>
    </w:rPr>
  </w:style>
  <w:style w:type="character" w:styleId="WW8Num14z0">
    <w:name w:val="WW8Num14z0"/>
    <w:qFormat/>
    <w:rPr>
      <w:rFonts w:ascii="David" w:hAnsi="David" w:cs="David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ascii="David" w:hAnsi="David" w:cs="David"/>
    </w:rPr>
  </w:style>
  <w:style w:type="character" w:styleId="WW8Num15z1">
    <w:name w:val="WW8Num15z1"/>
    <w:qFormat/>
    <w:rPr>
      <w:rFonts w:cs="Times New Roman"/>
    </w:rPr>
  </w:style>
  <w:style w:type="character" w:styleId="WW8Num16z0">
    <w:name w:val="WW8Num16z0"/>
    <w:qFormat/>
    <w:rPr>
      <w:rFonts w:ascii="A028 Extrabold;Times New Roman" w:hAnsi="A028 Extrabold;Times New Roman" w:cs="David"/>
    </w:rPr>
  </w:style>
  <w:style w:type="character" w:styleId="WW8Num16z2">
    <w:name w:val="WW8Num16z2"/>
    <w:qFormat/>
    <w:rPr>
      <w:rFonts w:cs="Times New Roman"/>
    </w:rPr>
  </w:style>
  <w:style w:type="character" w:styleId="WW8Num17z0">
    <w:name w:val="WW8Num17z0"/>
    <w:qFormat/>
    <w:rPr/>
  </w:style>
  <w:style w:type="character" w:styleId="WW8Num18z0">
    <w:name w:val="WW8Num18z0"/>
    <w:qFormat/>
    <w:rPr>
      <w:rFonts w:ascii="A028 Extrabold;Times New Roman" w:hAnsi="A028 Extrabold;Times New Roman" w:cs="David"/>
    </w:rPr>
  </w:style>
  <w:style w:type="character" w:styleId="WW8Num19z0">
    <w:name w:val="WW8Num19z0"/>
    <w:qFormat/>
    <w:rPr>
      <w:rFonts w:cs="Times New Roman"/>
      <w:b w:val="false"/>
      <w:bCs w:val="false"/>
      <w:sz w:val="24"/>
      <w:szCs w:val="24"/>
    </w:rPr>
  </w:style>
  <w:style w:type="character" w:styleId="WW8Num19z1">
    <w:name w:val="WW8Num19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37">
    <w:name w:val=" Char Char37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36">
    <w:name w:val=" Char Char36"/>
    <w:qFormat/>
    <w:rPr>
      <w:rFonts w:ascii="Calibri Light" w:hAnsi="Calibri Light" w:eastAsia="Times New Roman" w:cs="Times New Roman"/>
      <w:color w:val="2E74B5"/>
      <w:sz w:val="26"/>
      <w:szCs w:val="26"/>
    </w:rPr>
  </w:style>
  <w:style w:type="character" w:styleId="CharChar35">
    <w:name w:val=" Char Char35"/>
    <w:qFormat/>
    <w:rPr>
      <w:rFonts w:ascii="Calibri Light" w:hAnsi="Calibri Light" w:eastAsia="Times New Roman" w:cs="Times New Roman"/>
      <w:color w:val="1F4D78"/>
      <w:sz w:val="24"/>
      <w:szCs w:val="24"/>
    </w:rPr>
  </w:style>
  <w:style w:type="character" w:styleId="CharChar34">
    <w:name w:val=" Char Char3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3">
    <w:name w:val=" Char Char33"/>
    <w:qFormat/>
    <w:rPr>
      <w:rFonts w:ascii="Calibri Light" w:hAnsi="Calibri Light" w:eastAsia="Times New Roman" w:cs="Times New Roman"/>
      <w:color w:val="2E74B5"/>
      <w:sz w:val="24"/>
      <w:szCs w:val="24"/>
    </w:rPr>
  </w:style>
  <w:style w:type="character" w:styleId="CharChar32">
    <w:name w:val=" Char Char32"/>
    <w:qFormat/>
    <w:rPr>
      <w:rFonts w:ascii="Calibri Light" w:hAnsi="Calibri Light" w:eastAsia="Times New Roman" w:cs="Times New Roman"/>
      <w:color w:val="1F4D78"/>
      <w:sz w:val="24"/>
      <w:szCs w:val="24"/>
    </w:rPr>
  </w:style>
  <w:style w:type="character" w:styleId="CharChar31">
    <w:name w:val=" Char Char31"/>
    <w:qFormat/>
    <w:rPr>
      <w:rFonts w:ascii="Calibri Light" w:hAnsi="Calibri Light" w:eastAsia="Times New Roman" w:cs="Times New Roman"/>
      <w:i/>
      <w:iCs/>
      <w:color w:val="1F4D78"/>
      <w:sz w:val="24"/>
      <w:szCs w:val="24"/>
    </w:rPr>
  </w:style>
  <w:style w:type="character" w:styleId="CharChar30">
    <w:name w:val=" Char Char30"/>
    <w:qFormat/>
    <w:rPr>
      <w:rFonts w:ascii="Calibri Light" w:hAnsi="Calibri Light" w:eastAsia="Times New Roman" w:cs="Times New Roman"/>
      <w:color w:val="272727"/>
      <w:sz w:val="21"/>
      <w:szCs w:val="21"/>
    </w:rPr>
  </w:style>
  <w:style w:type="character" w:styleId="CharChar29">
    <w:name w:val=" Char Char29"/>
    <w:qFormat/>
    <w:rPr>
      <w:rFonts w:ascii="Calibri Light" w:hAnsi="Calibri Light" w:eastAsia="Times New Roman" w:cs="Times New Roman"/>
      <w:i/>
      <w:iCs/>
      <w:color w:val="272727"/>
      <w:sz w:val="21"/>
      <w:szCs w:val="21"/>
    </w:rPr>
  </w:style>
  <w:style w:type="character" w:styleId="CharChar28">
    <w:name w:val=" Char Char28"/>
    <w:qFormat/>
    <w:rPr>
      <w:rFonts w:ascii="Times New Roman" w:hAnsi="Times New Roman" w:eastAsia="Times New Roman" w:cs="David"/>
      <w:sz w:val="24"/>
      <w:szCs w:val="24"/>
    </w:rPr>
  </w:style>
  <w:style w:type="character" w:styleId="CharChar27">
    <w:name w:val=" Char Char27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6">
    <w:name w:val=" Char Char26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25">
    <w:name w:val=" Char Char25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;Arial" w:hAnsi="Arial TUR;Arial" w:eastAsia="Times New Roman" w:cs="FrankRuehl"/>
      <w:spacing w:val="10"/>
      <w:szCs w:val="28"/>
    </w:rPr>
  </w:style>
  <w:style w:type="character" w:styleId="FollowedHyperlink">
    <w:name w:val="FollowedHyperlink"/>
    <w:rPr>
      <w:color w:val="954F72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eastAsia="Times New Roman" w:cs="David"/>
      <w:sz w:val="20"/>
      <w:szCs w:val="20"/>
    </w:rPr>
  </w:style>
  <w:style w:type="character" w:styleId="Hyperlink">
    <w:name w:val="Hyperlink"/>
    <w:rPr>
      <w:color w:val="0563C1"/>
      <w:u w:val="single"/>
    </w:rPr>
  </w:style>
  <w:style w:type="character" w:styleId="CharChar23">
    <w:name w:val=" Char Char23"/>
    <w:qFormat/>
    <w:rPr>
      <w:rFonts w:ascii="Times New Roman" w:hAnsi="Times New Roman" w:eastAsia="Times New Roman" w:cs="David"/>
      <w:sz w:val="24"/>
      <w:szCs w:val="24"/>
    </w:rPr>
  </w:style>
  <w:style w:type="character" w:styleId="CharChar22">
    <w:name w:val=" Char Char22"/>
    <w:qFormat/>
    <w:rPr>
      <w:rFonts w:ascii="Times New Roman" w:hAnsi="Times New Roman" w:eastAsia="Times New Roman" w:cs="David"/>
      <w:sz w:val="24"/>
      <w:szCs w:val="24"/>
    </w:rPr>
  </w:style>
  <w:style w:type="character" w:styleId="CharChar21">
    <w:name w:val=" Char Char21"/>
    <w:qFormat/>
    <w:rPr>
      <w:rFonts w:ascii="Times New Roman" w:hAnsi="Times New Roman" w:eastAsia="Times New Roman" w:cs="David"/>
      <w:sz w:val="24"/>
      <w:szCs w:val="24"/>
    </w:rPr>
  </w:style>
  <w:style w:type="character" w:styleId="CharChar20">
    <w:name w:val=" Char Char20"/>
    <w:qFormat/>
    <w:rPr>
      <w:rFonts w:ascii="Times New Roman" w:hAnsi="Times New Roman" w:eastAsia="Times New Roman"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5B9BD5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5B9BD5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ascii="Times New Roman" w:hAnsi="Times New Roman" w:eastAsia="Times New Roman" w:cs="David"/>
      <w:sz w:val="24"/>
      <w:szCs w:val="24"/>
    </w:rPr>
  </w:style>
  <w:style w:type="character" w:styleId="CharChar18">
    <w:name w:val=" Char Char18"/>
    <w:qFormat/>
    <w:rPr>
      <w:rFonts w:ascii="Times New Roman" w:hAnsi="Times New Roman" w:eastAsia="Times New Roman" w:cs="David"/>
      <w:sz w:val="24"/>
      <w:szCs w:val="24"/>
    </w:rPr>
  </w:style>
  <w:style w:type="character" w:styleId="CharChar17">
    <w:name w:val=" Char Char17"/>
    <w:qFormat/>
    <w:rPr>
      <w:rFonts w:ascii="Times New Roman" w:hAnsi="Times New Roman" w:eastAsia="Times New Roman" w:cs="David"/>
      <w:sz w:val="20"/>
      <w:szCs w:val="20"/>
    </w:rPr>
  </w:style>
  <w:style w:type="character" w:styleId="CharChar16">
    <w:name w:val=" Char Char16"/>
    <w:qFormat/>
    <w:rPr>
      <w:rFonts w:ascii="Times New Roman" w:hAnsi="Times New Roman" w:eastAsia="Times New Roman" w:cs="David"/>
      <w:sz w:val="20"/>
      <w:szCs w:val="20"/>
    </w:rPr>
  </w:style>
  <w:style w:type="character" w:styleId="CharChar15">
    <w:name w:val=" Char Char15"/>
    <w:qFormat/>
    <w:rPr>
      <w:rFonts w:ascii="Consolas" w:hAnsi="Consolas" w:eastAsia="Times New Roman" w:cs="David"/>
      <w:sz w:val="20"/>
      <w:szCs w:val="20"/>
    </w:rPr>
  </w:style>
  <w:style w:type="character" w:styleId="PlaceholderText">
    <w:name w:val="Placeholder Text"/>
    <w:qFormat/>
    <w:rPr>
      <w:color w:val="808080"/>
    </w:rPr>
  </w:style>
  <w:style w:type="character" w:styleId="CharChar14">
    <w:name w:val=" Char Char14"/>
    <w:qFormat/>
    <w:rPr>
      <w:rFonts w:ascii="Consolas" w:hAnsi="Consolas" w:eastAsia="Times New Roman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13">
    <w:name w:val=" Char Char13"/>
    <w:qFormat/>
    <w:rPr>
      <w:rFonts w:ascii="Times New Roman" w:hAnsi="Times New Roman" w:eastAsia="Times New Roman" w:cs="David"/>
      <w:sz w:val="24"/>
      <w:szCs w:val="24"/>
    </w:rPr>
  </w:style>
  <w:style w:type="character" w:styleId="CharChar12">
    <w:name w:val=" Char Char12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eastAsia="Times New Roman"/>
      <w:color w:val="5A5A5A"/>
      <w:spacing w:val="15"/>
    </w:rPr>
  </w:style>
  <w:style w:type="character" w:styleId="CharChar10">
    <w:name w:val=" Char Char10"/>
    <w:qFormat/>
    <w:rPr>
      <w:rFonts w:ascii="Calibri Light" w:hAnsi="Calibri Light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rFonts w:ascii="Times New Roman" w:hAnsi="Times New Roman" w:eastAsia="Times New Roman" w:cs="David"/>
      <w:sz w:val="24"/>
      <w:szCs w:val="24"/>
    </w:rPr>
  </w:style>
  <w:style w:type="character" w:styleId="CharChar8">
    <w:name w:val=" Char Char8"/>
    <w:qFormat/>
    <w:rPr>
      <w:rFonts w:ascii="Times New Roman" w:hAnsi="Times New Roman" w:eastAsia="Times New Roman" w:cs="David"/>
      <w:sz w:val="24"/>
      <w:szCs w:val="24"/>
    </w:rPr>
  </w:style>
  <w:style w:type="character" w:styleId="CharChar7">
    <w:name w:val=" Char Char7"/>
    <w:qFormat/>
    <w:rPr>
      <w:rFonts w:ascii="Times New Roman" w:hAnsi="Times New Roman" w:eastAsia="Times New Roman" w:cs="David"/>
      <w:sz w:val="16"/>
      <w:szCs w:val="16"/>
    </w:rPr>
  </w:style>
  <w:style w:type="character" w:styleId="CharChar6">
    <w:name w:val=" Char Char6"/>
    <w:qFormat/>
    <w:rPr>
      <w:rFonts w:ascii="Times New Roman" w:hAnsi="Times New Roman" w:eastAsia="Times New Roman" w:cs="David"/>
      <w:sz w:val="24"/>
      <w:szCs w:val="24"/>
    </w:rPr>
  </w:style>
  <w:style w:type="character" w:styleId="CharChar5">
    <w:name w:val=" Char Char5"/>
    <w:qFormat/>
    <w:rPr>
      <w:rFonts w:ascii="Times New Roman" w:hAnsi="Times New Roman" w:eastAsia="Times New Roman" w:cs="David"/>
      <w:sz w:val="24"/>
      <w:szCs w:val="24"/>
    </w:rPr>
  </w:style>
  <w:style w:type="character" w:styleId="CharChar4">
    <w:name w:val=" Char Char4"/>
    <w:qFormat/>
    <w:rPr>
      <w:rFonts w:ascii="Times New Roman" w:hAnsi="Times New Roman" w:eastAsia="Times New Roman"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LineNumber">
    <w:name w:val="line number"/>
    <w:rPr/>
  </w:style>
  <w:style w:type="character" w:styleId="CharChar3">
    <w:name w:val=" Char Char3"/>
    <w:qFormat/>
    <w:rPr>
      <w:rFonts w:ascii="Tahoma" w:hAnsi="Tahoma" w:eastAsia="Times New Roman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">
    <w:name w:val=" Char Char2"/>
    <w:qFormat/>
    <w:rPr>
      <w:rFonts w:ascii="Times New Roman" w:hAnsi="Times New Roman" w:eastAsia="Times New Roman" w:cs="David"/>
      <w:b/>
      <w:bCs/>
      <w:sz w:val="20"/>
      <w:szCs w:val="20"/>
    </w:rPr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QuoteChar">
    <w:name w:val="Quote Char"/>
    <w:qFormat/>
    <w:rPr>
      <w:rFonts w:ascii="Times New Roman" w:hAnsi="Times New Roman" w:eastAsia="Times New Roman"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ascii="Times New Roman" w:hAnsi="Times New Roman" w:eastAsia="Times New Roman" w:cs="David"/>
      <w:i/>
      <w:iCs/>
      <w:color w:val="5B9BD5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libri Light" w:hAnsi="Calibri Light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  <w:textAlignment w:val="baseline"/>
    </w:pPr>
    <w:rPr>
      <w:rFonts w:ascii="Arial TUR;Arial" w:hAnsi="Arial TUR;Arial" w:cs="FrankRuehl"/>
      <w:spacing w:val="10"/>
      <w:sz w:val="22"/>
      <w:szCs w:val="28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5B9BD5"/>
        <w:left w:val="single" w:sz="2" w:space="10" w:color="5B9BD5"/>
        <w:bottom w:val="single" w:sz="2" w:space="10" w:color="5B9BD5"/>
        <w:right w:val="single" w:sz="2" w:space="10" w:color="5B9BD5"/>
      </w:pBdr>
      <w:ind w:hanging="0" w:start="1152" w:end="1152"/>
    </w:pPr>
    <w:rPr>
      <w:rFonts w:ascii="Calibri" w:hAnsi="Calibri" w:cs="Arial"/>
      <w:i/>
      <w:iCs/>
      <w:color w:val="5B9BD5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libri Light" w:hAnsi="Calibri Light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libri Light" w:hAnsi="Calibri Light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libri Light" w:hAnsi="Calibri Light" w:cs="Times New Roman"/>
      <w:b/>
      <w:bCs/>
    </w:rPr>
  </w:style>
  <w:style w:type="paragraph" w:styleId="TOCHeading">
    <w:name w:val="TOC Heading"/>
    <w:basedOn w:val="Heading1"/>
    <w:next w:val="Normal"/>
    <w:qFormat/>
    <w:pPr>
      <w:keepLines/>
      <w:numPr>
        <w:ilvl w:val="0"/>
        <w:numId w:val="0"/>
      </w:numPr>
      <w:spacing w:before="240" w:after="0"/>
      <w:ind w:hanging="0" w:start="0"/>
      <w:outlineLvl w:val="9"/>
    </w:pPr>
    <w:rPr>
      <w:rFonts w:ascii="Calibri Light" w:hAnsi="Calibri Light" w:cs="Times New Roman"/>
      <w:b w:val="false"/>
      <w:bCs w:val="false"/>
      <w:color w:val="2E74B5"/>
      <w:kern w:val="0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libri Light" w:hAnsi="Calibri Light" w:cs="Times New Roman"/>
    </w:rPr>
  </w:style>
  <w:style w:type="paragraph" w:styleId="EnvelopeReturn">
    <w:name w:val="envelope return"/>
    <w:basedOn w:val="Normal"/>
    <w:pPr/>
    <w:rPr>
      <w:rFonts w:ascii="Calibri Light" w:hAnsi="Calibri Light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360" w:after="360"/>
      <w:ind w:hanging="0" w:start="864" w:end="864"/>
      <w:jc w:val="center"/>
    </w:pPr>
    <w:rPr>
      <w:i/>
      <w:iCs/>
      <w:color w:val="5B9BD5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40b" TargetMode="External"/><Relationship Id="rId11" Type="http://schemas.openxmlformats.org/officeDocument/2006/relationships/hyperlink" Target="http://www.nevo.co.il/case/5699080" TargetMode="External"/><Relationship Id="rId12" Type="http://schemas.openxmlformats.org/officeDocument/2006/relationships/hyperlink" Target="http://www.nevo.co.il/case/13023134" TargetMode="External"/><Relationship Id="rId13" Type="http://schemas.openxmlformats.org/officeDocument/2006/relationships/hyperlink" Target="http://www.nevo.co.il/case/8471804" TargetMode="External"/><Relationship Id="rId14" Type="http://schemas.openxmlformats.org/officeDocument/2006/relationships/hyperlink" Target="http://www.nevo.co.il/case/20775010" TargetMode="External"/><Relationship Id="rId15" Type="http://schemas.openxmlformats.org/officeDocument/2006/relationships/hyperlink" Target="http://www.nevo.co.il/case/8291683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://www.nevo.co.il/case/6473037" TargetMode="External"/><Relationship Id="rId20" Type="http://schemas.openxmlformats.org/officeDocument/2006/relationships/hyperlink" Target="http://www.nevo.co.il/case/23750625" TargetMode="External"/><Relationship Id="rId21" Type="http://schemas.openxmlformats.org/officeDocument/2006/relationships/hyperlink" Target="http://www.nevo.co.il/case/17954235" TargetMode="External"/><Relationship Id="rId22" Type="http://schemas.openxmlformats.org/officeDocument/2006/relationships/hyperlink" Target="http://www.nevo.co.il/case/22006503" TargetMode="External"/><Relationship Id="rId23" Type="http://schemas.openxmlformats.org/officeDocument/2006/relationships/hyperlink" Target="http://www.nevo.co.il/law/70301/144.a.;144.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18653720" TargetMode="External"/><Relationship Id="rId26" Type="http://schemas.openxmlformats.org/officeDocument/2006/relationships/hyperlink" Target="http://www.nevo.co.il/case/11309005" TargetMode="External"/><Relationship Id="rId27" Type="http://schemas.openxmlformats.org/officeDocument/2006/relationships/hyperlink" Target="http://www.nevo.co.il/case/11269745" TargetMode="External"/><Relationship Id="rId28" Type="http://schemas.openxmlformats.org/officeDocument/2006/relationships/hyperlink" Target="http://www.nevo.co.il/case/7791493" TargetMode="External"/><Relationship Id="rId29" Type="http://schemas.openxmlformats.org/officeDocument/2006/relationships/hyperlink" Target="" TargetMode="External"/><Relationship Id="rId30" Type="http://schemas.openxmlformats.org/officeDocument/2006/relationships/hyperlink" Target="http://www.nevo.co.il/law/70301/40ja" TargetMode="External"/><Relationship Id="rId31" Type="http://schemas.openxmlformats.org/officeDocument/2006/relationships/hyperlink" Target="http://www.nevo.co.il/law/70301/40ja" TargetMode="External"/><Relationship Id="rId32" Type="http://schemas.openxmlformats.org/officeDocument/2006/relationships/hyperlink" Target="http://www.nevo.co.il/case/17954222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2019-12-05T13:18:00Z</dcterms:created>
  <dc:creator> </dc:creator>
  <dc:description/>
  <cp:keywords/>
  <dc:language>en-IL</dc:language>
  <cp:lastModifiedBy>yafit</cp:lastModifiedBy>
  <dcterms:modified xsi:type="dcterms:W3CDTF">2019-12-05T13:18:00Z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איברהים אזברגה;מוחמד אזברגה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5699080;13023134;8471804;20775010;8291683;6473037;23750625;17954235;22006503;18653720;11309005;11269745;7791493;17954222</vt:lpwstr>
  </property>
  <property fmtid="{D5CDD505-2E9C-101B-9397-08002B2CF9AE}" pid="9" name="CITY">
    <vt:lpwstr>י-ם</vt:lpwstr>
  </property>
  <property fmtid="{D5CDD505-2E9C-101B-9397-08002B2CF9AE}" pid="10" name="DATE">
    <vt:lpwstr>20190325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70301/144.b:2;144.a:2;040b;40ja:2</vt:lpwstr>
  </property>
  <property fmtid="{D5CDD505-2E9C-101B-9397-08002B2CF9AE}" pid="15" name="LAWYER">
    <vt:lpwstr>נעמי לבינוב;שאדי נאטור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56073</vt:lpwstr>
  </property>
  <property fmtid="{D5CDD505-2E9C-101B-9397-08002B2CF9AE}" pid="22" name="NEWPARTB">
    <vt:lpwstr>05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390020190325</vt:lpwstr>
  </property>
  <property fmtid="{D5CDD505-2E9C-101B-9397-08002B2CF9AE}" pid="34" name="TYPE_N_DATE">
    <vt:lpwstr>39020190325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