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56149-01-15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עזאם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שמעוני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עזאם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בעצמו וע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אוהד מגורי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start"/>
        <w:rPr>
          <w:rFonts w:ascii="Arial" w:hAnsi="Arial" w:cs="Arial"/>
          <w:sz w:val="32"/>
          <w:szCs w:val="32"/>
          <w:u w:val="single"/>
        </w:rPr>
      </w:pPr>
      <w:r>
        <w:rPr>
          <w:rFonts w:cs="Arial" w:ascii="Arial" w:hAnsi="Arial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11" w:name="ABSTRACT_START"/>
      <w:bookmarkEnd w:id="11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b/>
          <w:b/>
          <w:bCs/>
          <w:rtl w:val="true"/>
        </w:rPr>
        <w:t>היזק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454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bookmarkStart w:id="12" w:name="ABSTRACT_END"/>
      <w:bookmarkEnd w:id="12"/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hanging="720" w:start="720"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עאזם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סעיד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18.12.14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לקרובת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המאפייה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13:44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13:58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ופעוט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למאפייה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מהמאפייה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חולצתו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מהתפוצצות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ונהרסו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11.4.16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מתמודדת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קוסמטיים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שהתמודדה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גירושי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התרועעותו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שסכסכה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כשמבחינתו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מזערי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שהשלימו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אימפולסיבי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ותבוצע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הידרדרותו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ופעוט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מהשלכתו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לעיתים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להערכתו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עכבות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18.3.15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18.3.15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26.10.15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הסולחה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לגישתו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להתדרדרות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ולאמץ את המלצות 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שנחקק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0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ע</w:t>
        </w:r>
        <w:r>
          <w:rPr>
            <w:rStyle w:val="Hyperlink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1323/13</w:t>
        </w:r>
      </w:hyperlink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חסן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נגד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[</w:t>
      </w:r>
      <w:r>
        <w:rPr>
          <w:sz w:val="20"/>
        </w:rPr>
        <w:t>5.6.13</w:t>
      </w:r>
      <w:r>
        <w:rPr>
          <w:sz w:val="20"/>
          <w:rtl w:val="true"/>
        </w:rPr>
        <w:t>]: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המערערים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צדקו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בטענתם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לבסס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בעניינם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השאר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וכמות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סחרו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רימון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אחד</w:t>
      </w:r>
      <w:r>
        <w:rPr>
          <w:b/>
          <w:bCs/>
          <w:sz w:val="28"/>
          <w:rtl w:val="true"/>
        </w:rPr>
        <w:t xml:space="preserve">... </w:t>
      </w:r>
      <w:r>
        <w:rPr>
          <w:b/>
          <w:b/>
          <w:bCs/>
          <w:sz w:val="28"/>
          <w:sz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המבוצעות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 </w:t>
      </w:r>
      <w:r>
        <w:rPr>
          <w:b/>
          <w:b/>
          <w:bCs/>
          <w:sz w:val="28"/>
          <w:sz w:val="28"/>
          <w:rtl w:val="true"/>
        </w:rPr>
        <w:t>צריך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שיקבע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בהתאם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מדובר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שהרי</w:t>
      </w:r>
      <w:r>
        <w:rPr>
          <w:b/>
          <w:bCs/>
          <w:sz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הנשק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כמו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ההיקף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נסחר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הוחזק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הובל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וכיוצא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באלה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שקובעים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הכרוך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במעשה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העבירה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ברי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בעשרות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מטעני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המכילים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עשרות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קילוגרמים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חומר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נפץ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שקול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מבחינה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עונשית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גמולית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ברימון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בודד</w:t>
      </w:r>
      <w:r>
        <w:rPr>
          <w:b/>
          <w:bCs/>
          <w:sz w:val="28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  <w:sz w:val="20"/>
        </w:rPr>
      </w:pPr>
      <w:r>
        <w:rPr>
          <w:rFonts w:cs="Calibri" w:ascii="Calibri" w:hAnsi="Calibri"/>
          <w:b/>
          <w:bCs/>
          <w:sz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 w:val="20"/>
        </w:rPr>
      </w:pPr>
      <w:r>
        <w:rPr>
          <w:sz w:val="20"/>
          <w:sz w:val="20"/>
          <w:rtl w:val="true"/>
        </w:rPr>
        <w:t>וכן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בהמשך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בסעיף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12</w:t>
      </w:r>
      <w:r>
        <w:rPr>
          <w:sz w:val="20"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לגופו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עניין</w:t>
      </w:r>
      <w:r>
        <w:rPr>
          <w:b/>
          <w:bCs/>
          <w:sz w:val="20"/>
          <w:rtl w:val="true"/>
        </w:rPr>
        <w:t xml:space="preserve">... </w:t>
      </w:r>
      <w:r>
        <w:rPr>
          <w:b/>
          <w:b/>
          <w:bCs/>
          <w:sz w:val="20"/>
          <w:sz w:val="20"/>
          <w:rtl w:val="true"/>
        </w:rPr>
        <w:t>אחרי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ככלות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הכל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מדובר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בסחר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הנמצא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באחת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הדיוטות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הנמוכות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שבסולם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החומרה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אינני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ראש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בנזק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הפוטנציאלי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הטמון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בסוג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ואף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מדובר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שנועד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לטשטש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אדם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ולהכניסו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למצב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הלם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בכוחו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לגרום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נזק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מסוג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שיכול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להביא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להרג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הבחנה</w:t>
      </w:r>
      <w:r>
        <w:rPr>
          <w:b/>
          <w:bCs/>
          <w:sz w:val="20"/>
          <w:rtl w:val="true"/>
        </w:rPr>
        <w:t xml:space="preserve">." 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sz w:val="20"/>
        </w:rPr>
        <w:t>11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חרף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העובדה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להתחשב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לצורך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קיבעת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המתחם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בסוג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עסקינן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עדיין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להתעלם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המגמה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הברורה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באופן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בפסיקת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sz w:val="20"/>
          <w:rtl w:val="true"/>
        </w:rPr>
        <w:t>-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העליון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החמרה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נוכח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היקפן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המתרחב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המבוצעות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ראו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בפסק</w:t>
      </w:r>
      <w:r>
        <w:rPr>
          <w:sz w:val="20"/>
          <w:rtl w:val="true"/>
        </w:rPr>
        <w:t>-</w:t>
      </w:r>
      <w:r>
        <w:rPr>
          <w:sz w:val="20"/>
          <w:sz w:val="20"/>
          <w:rtl w:val="true"/>
        </w:rPr>
        <w:t>דינה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כב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השופטת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ארבל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סעיף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12</w:t>
      </w:r>
      <w:r>
        <w:rPr>
          <w:sz w:val="20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2718/04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דאחל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29.3.04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."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  <w:tab/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כשנגרם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3.6.08</w:t>
      </w:r>
      <w:r>
        <w:rPr>
          <w:rtl w:val="true"/>
        </w:rPr>
        <w:t xml:space="preserve">]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. 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12761-11-15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10.5.16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התפוצצות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19087-06-13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פואז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20.11.15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כבינוני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218-10-09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רמלאווי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24.3.10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54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ובניתוק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שהוצג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כשהתחשבתי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18.3.15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1.6.17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1.8.16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טלפונים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08-9787377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08-9787336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תשומת לב האחראים 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קיימת בעניינו של הנאשם המלצה טיפולית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56149-01-15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אמיל עזאם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54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6102612" TargetMode="External"/><Relationship Id="rId17" Type="http://schemas.openxmlformats.org/officeDocument/2006/relationships/hyperlink" Target="http://www.nevo.co.il/case/20705476" TargetMode="External"/><Relationship Id="rId18" Type="http://schemas.openxmlformats.org/officeDocument/2006/relationships/hyperlink" Target="http://www.nevo.co.il/case/7676477" TargetMode="External"/><Relationship Id="rId19" Type="http://schemas.openxmlformats.org/officeDocument/2006/relationships/hyperlink" Target="http://www.nevo.co.il/case/4368246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2017-01-10T13:49:00Z</dcterms:created>
  <dc:creator> </dc:creator>
  <dc:description/>
  <cp:keywords/>
  <dc:language>en-IL</dc:language>
  <cp:lastModifiedBy>Tali-a</cp:lastModifiedBy>
  <dcterms:modified xsi:type="dcterms:W3CDTF">2017-01-10T13:49:00Z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פמ#מ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אמיל עזאם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6473037;5852404;6102612;20705476;7676477;4368246</vt:lpwstr>
  </property>
  <property fmtid="{D5CDD505-2E9C-101B-9397-08002B2CF9AE}" pid="9" name="CITY">
    <vt:lpwstr>מרכז</vt:lpwstr>
  </property>
  <property fmtid="{D5CDD505-2E9C-101B-9397-08002B2CF9AE}" pid="10" name="DATE">
    <vt:lpwstr>20160626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70301/144.b;454;040c.a;040i.a</vt:lpwstr>
  </property>
  <property fmtid="{D5CDD505-2E9C-101B-9397-08002B2CF9AE}" pid="15" name="LAWYER">
    <vt:lpwstr>שחף קליימן שמעוני;אוהד מגורי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56149</vt:lpwstr>
  </property>
  <property fmtid="{D5CDD505-2E9C-101B-9397-08002B2CF9AE}" pid="22" name="NEWPARTB">
    <vt:lpwstr>01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390020160626</vt:lpwstr>
  </property>
  <property fmtid="{D5CDD505-2E9C-101B-9397-08002B2CF9AE}" pid="34" name="TYPE_N_DATE">
    <vt:lpwstr>39020160626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