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1"/>
        <w:gridCol w:w="3679"/>
      </w:tblGrid>
      <w:tr>
        <w:trPr>
          <w:trHeight w:val="418" w:hRule="exact"/>
        </w:trPr>
        <w:tc>
          <w:tcPr>
            <w:tcW w:w="8720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אליהו ביתן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56232-12-14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מכלוף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436"/>
        <w:gridCol w:w="628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בעניין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המאשימה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הנאשמים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אדי יהודה מכלוף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שי אונדרה וורו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הועבר למותב אחר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אברהם זהבי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טלי פלדמן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הנאשמים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ו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משה יוחאי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רישא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שהורשעו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שעניינן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מטעני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והובלתם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שהעונשים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המוסכמים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מאוד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עימם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בהתאם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להסדר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הוטל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אישורו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</w:t>
      </w:r>
      <w:r>
        <w:rPr>
          <w:rFonts w:eastAsia="FrankRuehl" w:cs="FrankRuehl" w:ascii="FrankRuehl" w:hAnsi="FrankRuehl"/>
          <w:szCs w:val="26"/>
          <w:rtl w:val="true"/>
        </w:rPr>
        <w:t>–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נשיאה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והובלת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</w:t>
      </w:r>
      <w:r>
        <w:rPr>
          <w:rFonts w:eastAsia="FrankRuehl" w:cs="FrankRuehl" w:ascii="FrankRuehl" w:hAnsi="FrankRuehl"/>
          <w:szCs w:val="26"/>
          <w:rtl w:val="true"/>
        </w:rPr>
        <w:t>–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ניסיון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</w:t>
      </w:r>
      <w:r>
        <w:rPr>
          <w:rFonts w:ascii="Times New Roman" w:hAnsi="Times New Roman" w:cs="FrankRuehl"/>
          <w:szCs w:val="26"/>
          <w:rtl w:val="true"/>
        </w:rPr>
        <w:t>ניסיון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להובלת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הצדדים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הסכימו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להטיל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</w:t>
      </w:r>
      <w:r>
        <w:rPr>
          <w:rFonts w:cs="FrankRuehl" w:ascii="Times New Roman" w:hAnsi="Times New Roman"/>
          <w:szCs w:val="26"/>
          <w:rtl w:val="true"/>
        </w:rPr>
        <w:t xml:space="preserve">– </w:t>
      </w:r>
      <w:r>
        <w:rPr>
          <w:rFonts w:cs="FrankRuehl" w:ascii="Times New Roman" w:hAnsi="Times New Roman"/>
          <w:szCs w:val="26"/>
        </w:rPr>
        <w:t>36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</w:t>
      </w:r>
      <w:r>
        <w:rPr>
          <w:rFonts w:cs="FrankRuehl" w:ascii="Times New Roman" w:hAnsi="Times New Roman"/>
          <w:szCs w:val="26"/>
          <w:rtl w:val="true"/>
        </w:rPr>
        <w:t xml:space="preserve">–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FrankRuehl"/>
          <w:szCs w:val="26"/>
          <w:rtl w:val="true"/>
        </w:rPr>
        <w:t>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הסכנות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הכרוכות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בהרכבת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מטען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החזקתו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חמורות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ביותר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האחרונות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העברייני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במטעני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לנפוץ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לפגיעות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בנפש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וברכוש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להתחשבות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הבנה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סלחנות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לטפל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בתופעה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ולמצות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</w:t>
      </w:r>
      <w:r>
        <w:rPr>
          <w:rFonts w:ascii="Times New Roman" w:hAnsi="Times New Roman" w:cs="FrankRuehl"/>
          <w:szCs w:val="26"/>
          <w:rtl w:val="true"/>
        </w:rPr>
        <w:t>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מהחוליות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בשרשרת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ההכנה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ההספקה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במטעני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להירתע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מהטלת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המירביים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האפשריים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העונשים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המוסכמים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מאוד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לאמצם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החמרה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במאסרים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המותנים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הנטייה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פשרה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קשיי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התביעה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להוכיח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שייחסה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הודאת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והחיסכון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בזמן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השיפוטי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בהתאם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הושתו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–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30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</w:t>
      </w:r>
      <w:r>
        <w:rPr>
          <w:rFonts w:eastAsia="FrankRuehl" w:cs="FrankRuehl" w:ascii="FrankRuehl" w:hAnsi="FrankRuehl"/>
          <w:szCs w:val="26"/>
          <w:rtl w:val="true"/>
        </w:rPr>
        <w:t>–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30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12"/>
        <w:spacing w:lineRule="auto" w:line="360"/>
        <w:ind w:end="0"/>
        <w:jc w:val="start"/>
        <w:rPr>
          <w:rFonts w:ascii="Times New Roman" w:hAnsi="Times New Roman" w:cs="FrankRuehl"/>
          <w:b w:val="false"/>
          <w:bCs w:val="false"/>
          <w:szCs w:val="26"/>
          <w:u w:val="none"/>
        </w:rPr>
      </w:pPr>
      <w:r>
        <w:rPr>
          <w:rFonts w:cs="FrankRuehl"/>
          <w:b w:val="false"/>
          <w:bCs w:val="false"/>
          <w:szCs w:val="26"/>
          <w:u w:val="none"/>
          <w:rtl w:val="true"/>
        </w:rPr>
      </w:r>
      <w:bookmarkStart w:id="6" w:name="ABSTRACT_END"/>
      <w:bookmarkStart w:id="7" w:name="ABSTRACT_END"/>
      <w:bookmarkEnd w:id="7"/>
    </w:p>
    <w:p>
      <w:pPr>
        <w:pStyle w:val="12"/>
        <w:spacing w:lineRule="auto" w:line="360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  <w:t>&lt;</w:t>
      </w:r>
      <w:r>
        <w:rPr>
          <w:b w:val="false"/>
          <w:bCs w:val="false"/>
          <w:sz w:val="6"/>
          <w:szCs w:val="6"/>
          <w:u w:val="none"/>
        </w:rPr>
        <w:t>#2#</w:t>
      </w:r>
      <w:r>
        <w:rPr>
          <w:b w:val="false"/>
          <w:bCs w:val="false"/>
          <w:sz w:val="6"/>
          <w:szCs w:val="6"/>
          <w:u w:val="none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גזר דין לנאשמים </w:t>
      </w:r>
      <w:r>
        <w:rPr>
          <w:rFonts w:cs="Arial" w:ascii="Arial" w:hAnsi="Arial"/>
          <w:b/>
          <w:bCs/>
          <w:sz w:val="28"/>
          <w:szCs w:val="28"/>
        </w:rPr>
        <w:t>1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ו 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- </w:t>
      </w:r>
      <w:r>
        <w:rPr>
          <w:rFonts w:cs="Arial" w:ascii="Arial" w:hAnsi="Arial"/>
          <w:b/>
          <w:bCs/>
          <w:sz w:val="28"/>
          <w:szCs w:val="28"/>
        </w:rPr>
        <w:t>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בטרם שמיעת הראיות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הגיעו הצדדים להסדר טיעון במסגרתו כתב האישום המקורי שהוגש נגד הנאשמים תוקן והנאשמים הודו בעובדות כתב האישום המתוקן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שאלה עיקריהן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אישום ראשון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-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לנאשם </w:t>
      </w:r>
      <w:r>
        <w:rPr>
          <w:rFonts w:eastAsia="Times New Roman" w:cs="Times New Roman" w:ascii="Times New Roman" w:hAnsi="Times New Roman"/>
          <w:b/>
          <w:bCs/>
        </w:rPr>
        <w:t>1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בלבד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 xml:space="preserve">בתאריך </w:t>
      </w:r>
      <w:r>
        <w:rPr>
          <w:rFonts w:eastAsia="Times New Roman" w:cs="Times New Roman" w:ascii="Times New Roman" w:hAnsi="Times New Roman"/>
        </w:rPr>
        <w:t>15.12.14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סמוך לשעה </w:t>
      </w:r>
      <w:r>
        <w:rPr>
          <w:rFonts w:eastAsia="Times New Roman" w:cs="Times New Roman" w:ascii="Times New Roman" w:hAnsi="Times New Roman"/>
        </w:rPr>
        <w:t>01:00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הגיע הנאשם  לפארק העירוני באשקלון כשהוא נוהג ברכב מסוג סובארו </w:t>
      </w:r>
      <w:r>
        <w:rPr>
          <w:rFonts w:eastAsia="Times New Roman" w:cs="Times New Roman" w:ascii="Times New Roman" w:hAnsi="Times New Roman"/>
        </w:rPr>
        <w:t>B4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ascii="Times New Roman" w:hAnsi="Times New Roman" w:eastAsia="Times New Roman" w:cs="Times New Roman"/>
          <w:rtl w:val="true"/>
        </w:rPr>
        <w:t xml:space="preserve">ר </w:t>
      </w:r>
      <w:r>
        <w:rPr>
          <w:rFonts w:eastAsia="Times New Roman" w:cs="Times New Roman" w:ascii="Times New Roman" w:hAnsi="Times New Roman"/>
        </w:rPr>
        <w:t>6262367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rtl w:val="true"/>
        </w:rPr>
        <w:t>רכב הסובארו</w:t>
      </w:r>
      <w:r>
        <w:rPr>
          <w:rFonts w:eastAsia="Times New Roman" w:cs="Times New Roman" w:ascii="Times New Roman" w:hAnsi="Times New Roman"/>
          <w:rtl w:val="true"/>
        </w:rPr>
        <w:t xml:space="preserve">") </w:t>
      </w:r>
      <w:r>
        <w:rPr>
          <w:rFonts w:ascii="Times New Roman" w:hAnsi="Times New Roman" w:eastAsia="Times New Roman" w:cs="Times New Roman"/>
          <w:rtl w:val="true"/>
        </w:rPr>
        <w:t>ונושא עמו את הרכיבים הבאים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א</w:t>
      </w:r>
      <w:r>
        <w:rPr>
          <w:rFonts w:eastAsia="Times New Roman" w:cs="Times New Roman" w:ascii="Times New Roman" w:hAnsi="Times New Roman"/>
          <w:rtl w:val="true"/>
        </w:rPr>
        <w:t>.</w:t>
        <w:tab/>
        <w:t xml:space="preserve">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חלקי לבנות חבלה מס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eastAsia="Times New Roman" w:cs="Times New Roman" w:ascii="Times New Roman" w:hAnsi="Times New Roman"/>
        </w:rPr>
        <w:t>10</w:t>
      </w:r>
      <w:r>
        <w:rPr>
          <w:rFonts w:eastAsia="Times New Roman" w:cs="Times New Roman" w:ascii="Times New Roman" w:hAnsi="Times New Roman"/>
          <w:rtl w:val="true"/>
        </w:rPr>
        <w:t>/</w:t>
      </w:r>
      <w:r>
        <w:rPr>
          <w:rFonts w:ascii="Times New Roman" w:hAnsi="Times New Roman" w:eastAsia="Times New Roman" w:cs="Times New Roman"/>
          <w:rtl w:val="true"/>
        </w:rPr>
        <w:t>נפיץ במשקל כולל של כ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1095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גרם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מאוגדות יחדיו בסרט דביק למארז אחד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מדובר בלבנות חבלה מתוצרת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רפאל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>הנמצאות בשימוש כוחות הביטחון ומשמשות כמטען עיקרי במערכות פיצוץ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ומיוצרות מחומר הנפץ המרסק </w:t>
      </w:r>
      <w:r>
        <w:rPr>
          <w:rFonts w:eastAsia="Times New Roman" w:cs="Times New Roman" w:ascii="Times New Roman" w:hAnsi="Times New Roman"/>
        </w:rPr>
        <w:t>RDX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eastAsia="Times New Roman" w:cs="Times New Roman"/>
          <w:rtl w:val="true"/>
        </w:rPr>
        <w:t>ציקלוניט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אמצעי ייזום הכוללים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נפץ חבלה חשמלי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שמוליכיו אוגדו יחדיו באמצעות סרט דביק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מדובר בנפץ חבלה מתוצרת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תע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ש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>אשר נמצא בשימוש כוחות הביטחון ומיועד ליזימת מערכות פיצוץ בהפעלה חשמלית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לרבות לבנות חבלה מס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eastAsia="Times New Roman" w:cs="Times New Roman" w:ascii="Times New Roman" w:hAnsi="Times New Roman"/>
        </w:rPr>
        <w:t>10</w:t>
      </w:r>
      <w:r>
        <w:rPr>
          <w:rFonts w:eastAsia="Times New Roman" w:cs="Times New Roman" w:ascii="Times New Roman" w:hAnsi="Times New Roman"/>
          <w:rtl w:val="true"/>
        </w:rPr>
        <w:t>/</w:t>
      </w:r>
      <w:r>
        <w:rPr>
          <w:rFonts w:ascii="Times New Roman" w:hAnsi="Times New Roman" w:eastAsia="Times New Roman" w:cs="Times New Roman"/>
          <w:rtl w:val="true"/>
        </w:rPr>
        <w:t>נפיץ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ג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מערכת הפעלה אל חוטית הכוללת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השאר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מקלט אליו מחוברים צומת מוליכים ומשדר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מדובר במערכת אלחוטית המשמשת בין השאר כמערכת שליטה אלחוטית בכלי רכב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ד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מקור מתח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eastAsia="Times New Roman" w:cs="Times New Roman"/>
          <w:rtl w:val="true"/>
        </w:rPr>
        <w:t xml:space="preserve">מצבר נטען </w:t>
      </w:r>
      <w:r>
        <w:rPr>
          <w:rFonts w:eastAsia="Times New Roman" w:cs="Times New Roman" w:ascii="Times New Roman" w:hAnsi="Times New Roman"/>
        </w:rPr>
        <w:t>12v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מסוג </w:t>
      </w:r>
      <w:r>
        <w:rPr>
          <w:rFonts w:eastAsia="Times New Roman" w:cs="Times New Roman" w:ascii="Times New Roman" w:hAnsi="Times New Roman"/>
        </w:rPr>
        <w:t>Dahua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>חיבור המרכיבים הנ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ל יוצר מטען חבלה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הפועל 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י שידור אות באמצעות לחיצה על אחד מכפתורי המשדר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 xml:space="preserve">הנאשם החנה את רכב הסובארו 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ירד ממנו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נשא עמו את חלקי מטען החבלה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והסתיר אותם בין השיחים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rtl w:val="true"/>
        </w:rPr>
        <w:t>מקום המסתור</w:t>
      </w:r>
      <w:r>
        <w:rPr>
          <w:rFonts w:eastAsia="Times New Roman" w:cs="Times New Roman" w:ascii="Times New Roman" w:hAnsi="Times New Roman"/>
          <w:rtl w:val="true"/>
        </w:rPr>
        <w:t>").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>בהמשך אותו היום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בשעות הצהריים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הגיע הנאשם לפארק העירוני ברכב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הסובארו ואתו בת זוגו ובנו התינוק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השלושה יצאו מהרכב והחלו ללכת על שביל 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לתוך הפארק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ניגש אל מקום המסתור ועמד שם מספר שניות תוך שהוא עושה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עצמו מטיל את מימיו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בהמשך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חזרו הנאשם ובת זוגו לכיוון רכב הסובארו ולאחר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שבת זוגו ובנו נכנסו לרכב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הוציא מתוך הרכב זוג כפפות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לבש אותן על ידיו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חזר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אל מקום המסתור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הסתכל לצדדים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התקרב לאחד השיחים והרים מתוכו שניים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מחלקי מטען החבלה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בעוד הנאשם מחזיק בידיו את חלקי מטען החבלה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שוטרים שהיו בתצפית על מקום</w:t>
      </w:r>
      <w:r>
        <w:rPr>
          <w:rFonts w:ascii="Times New Roman" w:hAnsi="Times New Roman" w:eastAsia="Times New Roman" w:cs="Times New Roman"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Cs/>
          <w:rtl w:val="true"/>
        </w:rPr>
        <w:t xml:space="preserve">המסתור רצו לעברו וצעקו לו </w:t>
      </w:r>
      <w:r>
        <w:rPr>
          <w:rFonts w:eastAsia="Times New Roman" w:cs="Times New Roman" w:ascii="Times New Roman" w:hAnsi="Times New Roman"/>
          <w:bCs/>
          <w:rtl w:val="true"/>
        </w:rPr>
        <w:t>"</w:t>
      </w:r>
      <w:r>
        <w:rPr>
          <w:rFonts w:ascii="Times New Roman" w:hAnsi="Times New Roman" w:eastAsia="Times New Roman" w:cs="Times New Roman"/>
          <w:bCs/>
          <w:rtl w:val="true"/>
        </w:rPr>
        <w:t>משטרה עצור</w:t>
      </w:r>
      <w:r>
        <w:rPr>
          <w:rFonts w:eastAsia="Times New Roman" w:cs="Times New Roman" w:ascii="Times New Roman" w:hAnsi="Times New Roman"/>
          <w:bCs/>
          <w:rtl w:val="true"/>
        </w:rPr>
        <w:t xml:space="preserve">" </w:t>
      </w:r>
      <w:r>
        <w:rPr>
          <w:rFonts w:ascii="Times New Roman" w:hAnsi="Times New Roman" w:eastAsia="Times New Roman" w:cs="Times New Roman"/>
          <w:bCs/>
          <w:rtl w:val="true"/>
        </w:rPr>
        <w:t>ו</w:t>
      </w:r>
      <w:r>
        <w:rPr>
          <w:rFonts w:eastAsia="Times New Roman" w:cs="Times New Roman" w:ascii="Times New Roman" w:hAnsi="Times New Roman"/>
          <w:bCs/>
          <w:rtl w:val="true"/>
        </w:rPr>
        <w:t>"</w:t>
      </w:r>
      <w:r>
        <w:rPr>
          <w:rFonts w:ascii="Times New Roman" w:hAnsi="Times New Roman" w:eastAsia="Times New Roman" w:cs="Times New Roman"/>
          <w:bCs/>
          <w:rtl w:val="true"/>
        </w:rPr>
        <w:t>שכב שכב</w:t>
      </w:r>
      <w:r>
        <w:rPr>
          <w:rFonts w:eastAsia="Times New Roman" w:cs="Times New Roman" w:ascii="Times New Roman" w:hAnsi="Times New Roman"/>
          <w:bCs/>
          <w:rtl w:val="true"/>
        </w:rPr>
        <w:t xml:space="preserve">". </w:t>
      </w:r>
      <w:r>
        <w:rPr>
          <w:rFonts w:ascii="Times New Roman" w:hAnsi="Times New Roman" w:eastAsia="Times New Roman" w:cs="Times New Roman"/>
          <w:bCs/>
          <w:rtl w:val="true"/>
        </w:rPr>
        <w:t>הנאשם שמט מידו את חלקי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מטען החבלה ונשכב על החול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מנסה להסתיר את כפות ידיו מתחת לגופו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אחד השוטרים ביקש ממנו להוציא את ידיו וניסה למשוך אותם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התנגד ושוטר אחר נאלץ להכות אותו על כתפו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אז הוציא הנאשם את ידיו מתחת לגופו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ונעצר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אישום שני</w:t>
      </w:r>
      <w:r>
        <w:rPr>
          <w:rFonts w:eastAsia="Times New Roman" w:cs="Times New Roman" w:ascii="Times New Roman" w:hAnsi="Times New Roman"/>
          <w:b/>
          <w:bCs/>
          <w:rtl w:val="true"/>
        </w:rPr>
        <w:tab/>
        <w:tab/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לאחר מעצר הנאשם ותפיסת חלקי מטען החבלה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כמתואר באישום הראשון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הכינה המשטרה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באותו היום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מטען חבלה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דמה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 xml:space="preserve">העשוי מלבנת חבלה מעוקרת עטופה בדבק ממנה יוצא חוט של אוזניות פלאפון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rtl w:val="true"/>
        </w:rPr>
        <w:t>מטען הדמה</w:t>
      </w:r>
      <w:r>
        <w:rPr>
          <w:rFonts w:eastAsia="Times New Roman" w:cs="Times New Roman" w:ascii="Times New Roman" w:hAnsi="Times New Roman"/>
          <w:rtl w:val="true"/>
        </w:rPr>
        <w:t xml:space="preserve">") </w:t>
      </w:r>
      <w:r>
        <w:rPr>
          <w:rFonts w:ascii="Times New Roman" w:hAnsi="Times New Roman" w:eastAsia="Times New Roman" w:cs="Times New Roman"/>
          <w:rtl w:val="true"/>
        </w:rPr>
        <w:t>הכניסה אותו לשקית והניחה אותו מאחורי מושב הנהג ברכב הסובארו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בהמשך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סמוך לשעה </w:t>
      </w:r>
      <w:r>
        <w:rPr>
          <w:rFonts w:eastAsia="Times New Roman" w:cs="Times New Roman" w:ascii="Times New Roman" w:hAnsi="Times New Roman"/>
        </w:rPr>
        <w:t>16:35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השוטרת ענבר שוורץ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rtl w:val="true"/>
        </w:rPr>
        <w:t>השוטרת ענבל</w:t>
      </w:r>
      <w:r>
        <w:rPr>
          <w:rFonts w:eastAsia="Times New Roman" w:cs="Times New Roman" w:ascii="Times New Roman" w:hAnsi="Times New Roman"/>
          <w:rtl w:val="true"/>
        </w:rPr>
        <w:t xml:space="preserve">") </w:t>
      </w:r>
      <w:r>
        <w:rPr>
          <w:rFonts w:ascii="Times New Roman" w:hAnsi="Times New Roman" w:eastAsia="Times New Roman" w:cs="Times New Roman"/>
          <w:rtl w:val="true"/>
        </w:rPr>
        <w:t xml:space="preserve">הסיעה את רכב הסובארו ובו מטען הדמה למתחם תחנת הדלק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פז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 xml:space="preserve">אשר בצומת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עד הלום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>שם החנתה את הרכב והמתינה בו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במקביל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אחד השוטרים שלח מסרון ממכשיר הפלאפון של 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למכשיר הפלאפון של הנאשם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בו כתב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אני שולח לך כסף עם בחורה באוטו שלי לצומת עד הלום עוד רבע שעה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>באופן הנחזה להיות מסרון שנשלח 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י 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השיב במסרון את המילה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עוזי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 xml:space="preserve">והשוטר שלח מסרון ממכשיר הפלאפון של 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לאדם בשם עוזי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באופן הנחזה להיות מסרון שנשלח 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י 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בו כתב </w:t>
      </w:r>
      <w:r>
        <w:rPr>
          <w:rFonts w:eastAsia="Times New Roman" w:cs="Times New Roman" w:ascii="Times New Roman" w:hAnsi="Times New Roman"/>
          <w:rtl w:val="true"/>
        </w:rPr>
        <w:t>""</w:t>
      </w:r>
      <w:r>
        <w:rPr>
          <w:rFonts w:ascii="Times New Roman" w:hAnsi="Times New Roman" w:eastAsia="Times New Roman" w:cs="Times New Roman"/>
          <w:rtl w:val="true"/>
        </w:rPr>
        <w:t>הצ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ק מוכן בצומת עד הלום עם בחורה ברכב שלי</w:t>
      </w:r>
      <w:r>
        <w:rPr>
          <w:rFonts w:eastAsia="Times New Roman"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eastAsia="Times New Roman" w:cs="Times New Roman"/>
          <w:rtl w:val="true"/>
        </w:rPr>
        <w:t xml:space="preserve">עוזי התקשר לנאשם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והנאשם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אמר לו כי הוא אינו יכול לאסוף את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הכסף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 xml:space="preserve">וכי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אי אפשר לדחות את זה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 xml:space="preserve">וביקש ממנו ליצור קשר עם 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ולהגיע למתחם עד הלום כדי לאסוף את מטען החבלה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סמוך לשעה </w:t>
      </w:r>
      <w:r>
        <w:rPr>
          <w:rFonts w:eastAsia="Times New Roman" w:cs="Times New Roman" w:ascii="Times New Roman" w:hAnsi="Times New Roman"/>
        </w:rPr>
        <w:t>17:50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הגיע הנאשם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למתחם עד הלום ברכב מסוג מזדה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בה נהג אביחי וקנין ובמושב האחורי ישב בנו הקטין של הנאשם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ורכב המזדה עצר והמתין מספר דקות בסמוך לרכב הסובארו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במקביל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שוחחו הנאשם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ועוזי בפלאפון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והנאשם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אמר לעוזי כי הוא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רואה אותה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 xml:space="preserve">עוזי השיב לו כי הוא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עוד דקה מגיע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 xml:space="preserve">והנאשם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אמר לעוזי כי הוא עוזב את המקום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לאחר האמור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בסמוך לשעה </w:t>
      </w:r>
      <w:r>
        <w:rPr>
          <w:rFonts w:eastAsia="Times New Roman" w:cs="Times New Roman" w:ascii="Times New Roman" w:hAnsi="Times New Roman"/>
        </w:rPr>
        <w:t>18:00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הגיעו למקום 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ועוזי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ברכב מסוג קאיה מ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ascii="Times New Roman" w:hAnsi="Times New Roman" w:eastAsia="Times New Roman" w:cs="Times New Roman"/>
          <w:rtl w:val="true"/>
        </w:rPr>
        <w:t>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eastAsia="Times New Roman" w:cs="Times New Roman" w:ascii="Times New Roman" w:hAnsi="Times New Roman"/>
        </w:rPr>
        <w:t>5308478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rtl w:val="true"/>
        </w:rPr>
        <w:t>רכב הקאיה</w:t>
      </w:r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rtl w:val="true"/>
        </w:rPr>
        <w:t xml:space="preserve">נהוג בידי 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שידע כי מדובר בכוונה לאסוף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אולם לא ידע מה סוגו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ועוזי נסעו לתוך המתחם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יצאו ממנו ושבו ונכנסו אליו ואחר כך 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עצר את רכב הקאיה ליד משאבות הדלק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יצא ממנו וערך סקירה בחנות ה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YELLOW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במקום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עלה לרכב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המתין בו מספר דקות ואחר כך נסע לכיוון רכב הסובארו ועצר בסמוך לחלקו האחורי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עוזי יצא מתוך רכב הקאיה והזדהה בפני השוטרת ענבל בשמו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ובתגובה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היא אמרה לו כי 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אמר לה שיש משהו עבורו מאחורי כסא הנהג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מיד לאחר מכן עוזי הוציא את שקית הניילון ובה מטען הדמה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לקח אותה עמו לרכב הקאיה והניח אותה על המושב האחורי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כאשר 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מודע לכך שבתוך השקית יש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כהגדרתו בחוק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אך לא ידע את סוגו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והנאשם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ועוזי עזבו את מתחם עד הלום כאשר 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נוהג ברכב הקאיה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על יסוד הודאת הנאשמים בעובדות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כאמור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הורשע בעבירה של החזקת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רישא</w:t>
        </w:r>
      </w:hyperlink>
      <w:r>
        <w:rPr>
          <w:rFonts w:ascii="Times New Roman" w:hAnsi="Times New Roman" w:eastAsia="Times New Roman" w:cs="Times New Roman"/>
          <w:rtl w:val="true"/>
        </w:rPr>
        <w:t xml:space="preserve"> וסיפא ל</w:t>
      </w:r>
      <w:hyperlink r:id="rId7">
        <w:r>
          <w:rPr>
            <w:rStyle w:val="Hyperlink"/>
            <w:rFonts w:ascii="Times New Roman" w:hAnsi="Times New Roman" w:eastAsia="Times New Roman" w:cs="Times New Roman"/>
            <w:rtl w:val="true"/>
          </w:rPr>
          <w:t>חוק העונשין</w:t>
        </w:r>
      </w:hyperlink>
      <w:r>
        <w:rPr>
          <w:rFonts w:ascii="Times New Roman" w:hAnsi="Times New Roman" w:eastAsia="Times New Roman" w:cs="Times New Roman"/>
          <w:rtl w:val="true"/>
        </w:rPr>
        <w:t xml:space="preserve"> תשל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ז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1977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rtl w:val="true"/>
        </w:rPr>
        <w:t>חוק העונשין</w:t>
      </w:r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rtl w:val="true"/>
        </w:rPr>
        <w:t>ובעבירה של נשיאה והובלת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רישא לחוק העונשין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הורשע בעבירה של ניסיון להחזקת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רישא וסיפא </w:t>
      </w:r>
      <w:hyperlink r:id="rId1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25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 העונשין ובעבירה של ניסיון להובלת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11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רישא וסיפא </w:t>
      </w:r>
      <w:hyperlink r:id="rId1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25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 העונשין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במסגרת הסדר הטיעון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המליצו הצדדים לבית המשפט להטיל על 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36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חודשי מאסר בפועל ומאסר על תנאי ולהטיל על 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 ומאסר על תנאי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התביעה הסבירה כי כתב האישום המקורי תוקן בצורה משמעותית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רקע קשיים ראייתיים הנוגעים לפרשנות שיש לתת לדברים שנקלטו בהאזנות סתר – שהיו נדבך חשוב בביסוס גרסת התביעה בכתב האישום המקורי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ועל רקע טענת 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כי ברח מפני הרכב בו היו שוטרים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שדלק אחריו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בסברו כי המדובר באנשים המבקשים לפגוע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שנתמכה בעובדה כי זמן קצר לפני האירוע המשטרה הזהירה אותו על כוונה של אחרים לפגוע בחייו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וטענה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בהתחשב בעובדות ובעבירות שבכתב האישום המתוקן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העונשים המוצעים נמצאים בתוך מתחמי העונש ההולמים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ועתרה לקבל את הסדר הטיעון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הנאשמים הוסיפה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הנאשמים הודו בהזדמנות הראשונה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נטלו אחריות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הביעו חרטה וחסכו בזמנו של בית המשפט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וציינה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הנאשמים נשואים ואבות לילדים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והם נמצאים במעצר מזה שבעה חודשים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הביע חרטה על מעשיו וביקש הזדמנות להשתקם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ביקש את התחשבות בית המשפט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Times New Roman" w:cs="Times New Roman" w:ascii="Times New Roman" w:hAnsi="Times New Roman"/>
        </w:rPr>
        <w:t>5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הסכנות הכרוכות בהרכבת מטען חבלה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החזקתו והשימוש בו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חמורות ביותר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פיצוץ מטען חבלה עלול לגרום לפגיעות קשות בגוף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בנפש וברכוש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ובנוסף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הוא משפיע לרעה על תחושת הבטחון של הציבור ומשדר כאילו הרחובות הפכו הפקר ואין דין ואין דיין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בשנים האחרונות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כחלק מההסלמה הכללית באלימות העבריינים ועל רקע זמינותם הגבוהה של כלי נשק וחומרי חבלה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השימוש העברייני במטעני חבלה הפך לנפוץ והוא גרם לפגיעות בנפש וברכוש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eastAsia="Times New Roman" w:cs="Times New Roman"/>
          <w:rtl w:val="true"/>
          <w:lang w:eastAsia="he-IL"/>
        </w:rPr>
        <w:t>של אלה שאליהם כוונה הפגיעה ושל אחרים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תמימים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</w:p>
    <w:p>
      <w:pPr>
        <w:pStyle w:val="Normal"/>
        <w:tabs>
          <w:tab w:val="left" w:pos="720" w:leader="none"/>
          <w:tab w:val="left" w:pos="8309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מטעני חבלה מטבעם אינם משמשים את העבריינים להגנה עצמית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אלא למעשי תקיפה אלימים אכזריים ומסוכנים מאין כמותם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בהקשר זה אין כל מקום להתחשבות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הבנה או סלחנות ויש לטפל בתופעה ביד קשה ולמצות את חומר הדין כלפי כל אחת מהחוליות בשרשרת ההכנה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ההספקה והשימוש במטעני חבלה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ולדידי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אין להירתע מהטלת עונשי המאסר המירביים האפשריים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כאן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החזיק במרכיבים שחיבורם יוצר מטען חבלה שניתן להפעילו מרחוק באמצעות משדר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נשא והוביל אותם לפארק ציבורי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הסתיר אותם במקום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ואחר כך שב והוציא אותם ממקום </w:t>
      </w:r>
      <w:r>
        <w:rPr>
          <w:rFonts w:ascii="Times New Roman" w:hAnsi="Times New Roman" w:eastAsia="Times New Roman" w:cs="Times New Roman"/>
          <w:rtl w:val="true"/>
        </w:rPr>
        <w:t>המסתור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והוא נתפס בכף על ידי המשטרה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הרושם הוא שהראיות נגדו באשר לליבת המעשים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מבוססות על דוחות השוטרים שהיו מעורבים בעניין ועל עצם תפיסת מרכיבי מטען החבלה בידו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ושמשקל השיחות שנקלטו בהאזנות הסתר במארג הראיות נגדו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איננו גדול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אם בכלל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imes New Roman" w:hAnsi="Times New Roman" w:eastAsia="Times New Roman" w:cs="Times New Roman"/>
          <w:rtl w:val="true"/>
        </w:rPr>
        <w:t xml:space="preserve">עונשי המאסר המירביים הקבועים לעבירה של החזקת נשק לפי </w:t>
      </w:r>
      <w:hyperlink r:id="rId1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רישא וסיפא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הם </w:t>
      </w: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שנות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ועונש המאסר המירבי הקבוע לעבירה של נשיאת והובלת נשק לפי </w:t>
      </w:r>
      <w:hyperlink r:id="rId14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רישא הוא </w:t>
      </w:r>
      <w:r>
        <w:rPr>
          <w:rFonts w:eastAsia="Times New Roman" w:cs="Times New Roman" w:ascii="Times New Roman" w:hAnsi="Times New Roman"/>
        </w:rPr>
        <w:t>10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שנות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eastAsia="Times New Roman" w:cs="Arial"/>
        </w:rPr>
      </w:pP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בן </w:t>
      </w:r>
      <w:r>
        <w:rPr>
          <w:rFonts w:eastAsia="Times New Roman" w:cs="Times New Roman" w:ascii="Times New Roman" w:hAnsi="Times New Roman"/>
        </w:rPr>
        <w:t>39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לחובתו מספר הרשעות קודמות והוא נשא מאסרים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לפני כ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שנים הוא הורשע בבית משפט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בתיק </w:t>
      </w:r>
      <w:hyperlink r:id="rId15">
        <w:r>
          <w:rPr>
            <w:rStyle w:val="Hyperlink"/>
            <w:rFonts w:ascii="Times New Roman" w:hAnsi="Times New Roman" w:eastAsia="Times New Roman" w:cs="Times New Roman"/>
            <w:rtl w:val="true"/>
          </w:rPr>
          <w:t>תפ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ח </w:t>
        </w:r>
        <w:r>
          <w:rPr>
            <w:rStyle w:val="Hyperlink"/>
            <w:rFonts w:eastAsia="Times New Roman" w:cs="Times New Roman" w:ascii="Times New Roman" w:hAnsi="Times New Roman"/>
          </w:rPr>
          <w:t>1122/09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eastAsia="Times New Roman" w:cs="Times New Roman"/>
          <w:rtl w:val="true"/>
        </w:rPr>
        <w:t>בעבירות של קשירת קשר לפשע ומתן אמצעים לביצוע פשע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על פי עובדות כתב האישום המתוקן שהוגש נגדו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בהן הודה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קשר קשר עם אחרים לפוצץ מטען חבלה בפתח עסקו של אדם מסוים בקרית גת ובמסגרת זו הוא סיפק טלפון נייד ששימש כאמצעי הפעלה של מטען החבלה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המטען הוצמד לפתח עסקו של הנפגע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הופעל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התפוצץ וגרם נזק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>בנסיבות אלה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עונש של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שנות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מקל אתו עד מאוד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 xml:space="preserve">באשר לנאשם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התביעה הלכה לקראתו כברת דרך רבה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וכפי שהבנתי מחקה את האישום השלישי בכתב האישום המקורי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שיוחס רק 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שכלל עובדות חמורות מאוד ועבירות של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סיכון חיי אדם במזיד בנתיב תחבורה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חבלה בכוונה מחמירה</w:t>
      </w:r>
      <w:r>
        <w:rPr>
          <w:rFonts w:eastAsia="Times New Roman" w:cs="Times New Roman" w:ascii="Times New Roman" w:hAnsi="Times New Roman"/>
          <w:rtl w:val="true"/>
        </w:rPr>
        <w:t xml:space="preserve">" - </w:t>
      </w:r>
      <w:r>
        <w:rPr>
          <w:rFonts w:ascii="Times New Roman" w:hAnsi="Times New Roman" w:eastAsia="Times New Roman" w:cs="Times New Roman"/>
          <w:rtl w:val="true"/>
        </w:rPr>
        <w:t xml:space="preserve">שהעונש המירבי הקבוע לכל אחת מהן הוא </w:t>
      </w:r>
      <w:r>
        <w:rPr>
          <w:rFonts w:eastAsia="Times New Roman" w:cs="Times New Roman" w:ascii="Times New Roman" w:hAnsi="Times New Roman"/>
        </w:rPr>
        <w:t>20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שנות מאסר 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eastAsia="Times New Roman" w:cs="Times New Roman"/>
          <w:rtl w:val="true"/>
        </w:rPr>
        <w:t>על יסוד טענה עובדתית שנטענה על ידי סנגורו בשלב ההידברות בין התביעה להגנה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שהוא עצמו לא העלה בחקירותיו במשטרה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עובדות כתב האישום המתוקן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בהן הודה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מתארות עבירות מוגמרות של החזקת נשק ושל הובלת נשק – הגם שצוין שהנאשם לא ידע את סוג הנשק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ובכל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התביעה ייחסה לו רק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ניסיון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לביצוע כל אחת מהעבירות המוזכרות ולא את העבירות המוגמרות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 xml:space="preserve">הנאשם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בן </w:t>
      </w:r>
      <w:r>
        <w:rPr>
          <w:rFonts w:eastAsia="Times New Roman" w:cs="Times New Roman" w:ascii="Times New Roman" w:hAnsi="Times New Roman"/>
        </w:rPr>
        <w:t>39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עבריין מועד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לחובתו הרשעות קודמות רבות וחמורות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כולל עבירות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והוא נשא במצטבר כ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שנות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>עונש של שנת מאסר אחת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מקל אתו מאוד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העונשים המוצעים בהסדר הטיעון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במיוחד בנוגע לנאשם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קרובים מאוד לנקודה המצדיקה את דחייתם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אולם בסופו של דבר החלטתי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 בלב קל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שלא לדחותם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Times New Roman" w:hAnsi="Times New Roman" w:eastAsia="Times New Roman" w:cs="Times New Roman"/>
          <w:b/>
          <w:b/>
          <w:rtl w:val="true"/>
          <w:lang w:eastAsia="he-IL"/>
        </w:rPr>
        <w:t>א</w:t>
      </w:r>
      <w:r>
        <w:rPr>
          <w:rFonts w:eastAsia="Times New Roman" w:cs="Times New Roman" w:ascii="Times New Roman" w:hAnsi="Times New Roman"/>
          <w:b/>
          <w:rtl w:val="true"/>
          <w:lang w:eastAsia="he-IL"/>
        </w:rPr>
        <w:t>.</w:t>
        <w:tab/>
        <w:t>"</w:t>
      </w:r>
      <w:r>
        <w:rPr>
          <w:rFonts w:ascii="Times New Roman" w:hAnsi="Times New Roman" w:eastAsia="Times New Roman" w:cs="Times New Roman"/>
          <w:b/>
          <w:b/>
          <w:rtl w:val="true"/>
          <w:lang w:eastAsia="he-IL"/>
        </w:rPr>
        <w:t xml:space="preserve">הסדר טיעון </w:t>
      </w:r>
      <w:r>
        <w:rPr>
          <w:rFonts w:ascii="Times New Roman" w:hAnsi="Times New Roman" w:eastAsia="Times New Roman" w:cs="Times New Roman"/>
          <w:rtl w:val="true"/>
          <w:lang w:eastAsia="he-IL"/>
        </w:rPr>
        <w:t>– באשר הוא – אינו רק שיקול אחד ככל יתר השיקולים העומדים בפני בית</w:t>
      </w:r>
      <w:r>
        <w:rPr>
          <w:rFonts w:eastAsia="Times New Roman" w:cs="Times New Roman" w:ascii="Times New Roman" w:hAnsi="Times New Roman"/>
          <w:vertAlign w:val="superscript"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המשפט הגוזר את העונש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הסדר טיעון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כשהוא לעצמו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הוא שיקול מרכזי בגזירת הדין הן מטעמים של אינטרס הציבור הן כדי למלא אחר ציפיות הנאשם המוותר בהודאתו על זכותו לניהול ההליך הפלילי עד תומו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האינטרס הציבורי במובנו הרחב מחייב את בתי</w:t>
      </w:r>
      <w:r>
        <w:rPr>
          <w:rFonts w:eastAsia="Times New Roman" w:cs="Times New Roman" w:ascii="Times New Roman" w:hAnsi="Times New Roman"/>
          <w:vertAlign w:val="superscript"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המשפט לעודד קיומם של הסדרי טיעון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קיום הסדרי טיעון מאפשר פריסה רחבה יותר של אכיפת החוק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ובכך יש כוח מרתיע כשלעצמו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העשוי לאזן את אפקט ההקלה בעונש במקרה הקונקרטי</w:t>
      </w:r>
      <w:r>
        <w:rPr>
          <w:rFonts w:eastAsia="Times New Roman" w:cs="Times New Roman" w:ascii="Times New Roman" w:hAnsi="Times New Roman"/>
          <w:rtl w:val="true"/>
          <w:lang w:eastAsia="he-IL"/>
        </w:rPr>
        <w:t>. ...</w:t>
      </w:r>
      <w:r>
        <w:rPr>
          <w:rFonts w:ascii="Times New Roman" w:hAnsi="Times New Roman" w:eastAsia="Times New Roman" w:cs="Times New Roman"/>
          <w:rtl w:val="true"/>
          <w:lang w:eastAsia="he-IL"/>
        </w:rPr>
        <w:t>ככלל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</w:t>
      </w:r>
      <w:r>
        <w:rPr>
          <w:rFonts w:eastAsia="Times New Roman" w:cs="Times New Roman" w:ascii="Times New Roman" w:hAnsi="Times New Roman"/>
          <w:vertAlign w:val="superscript"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המשפט יראה לקיים את הסדר הטיעון בשל הטעמים הקשורים בחשיבותם ובמעמדם של הסדרי הטיעון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". - </w:t>
      </w:r>
      <w:hyperlink r:id="rId16">
        <w:r>
          <w:rPr>
            <w:rStyle w:val="Hyperlink"/>
            <w:rFonts w:ascii="FrankRuehl" w:hAnsi="FrankRuehl" w:eastAsia="Times New Roman" w:cs="FrankRuehl"/>
            <w:rtl w:val="true"/>
            <w:lang w:eastAsia="he-IL"/>
          </w:rPr>
          <w:t>ע</w:t>
        </w:r>
        <w:r>
          <w:rPr>
            <w:rStyle w:val="Hyperlink"/>
            <w:rFonts w:eastAsia="Times New Roman" w:cs="FrankRuehl" w:ascii="FrankRuehl" w:hAnsi="FrankRuehl"/>
            <w:rtl w:val="true"/>
            <w:lang w:eastAsia="he-IL"/>
          </w:rPr>
          <w:t>"</w:t>
        </w:r>
        <w:r>
          <w:rPr>
            <w:rStyle w:val="Hyperlink"/>
            <w:rFonts w:ascii="FrankRuehl" w:hAnsi="FrankRuehl" w:eastAsia="Times New Roman" w:cs="FrankRuehl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FrankRuehl" w:ascii="FrankRuehl" w:hAnsi="FrankRuehl"/>
            <w:lang w:eastAsia="he-IL"/>
          </w:rPr>
          <w:t>1958/98</w:t>
        </w:r>
        <w:r>
          <w:rPr>
            <w:rStyle w:val="Hyperlink"/>
            <w:rFonts w:eastAsia="Times New Roman" w:cs="FrankRuehl" w:ascii="FrankRuehl" w:hAnsi="FrankRuehl"/>
            <w:rtl w:val="true"/>
            <w:lang w:eastAsia="he-IL"/>
          </w:rPr>
          <w:t xml:space="preserve">‏ </w:t>
        </w:r>
        <w:r>
          <w:rPr>
            <w:rStyle w:val="Hyperlink"/>
            <w:rFonts w:ascii="FrankRuehl" w:hAnsi="FrankRuehl" w:eastAsia="Times New Roman" w:cs="FrankRuehl"/>
            <w:rtl w:val="true"/>
            <w:lang w:eastAsia="he-IL"/>
          </w:rPr>
          <w:t>פלוני נ</w:t>
        </w:r>
        <w:r>
          <w:rPr>
            <w:rStyle w:val="Hyperlink"/>
            <w:rFonts w:eastAsia="Times New Roman" w:cs="FrankRuehl" w:ascii="FrankRuehl" w:hAnsi="FrankRuehl"/>
            <w:rtl w:val="true"/>
            <w:lang w:eastAsia="he-IL"/>
          </w:rPr>
          <w:t xml:space="preserve">' </w:t>
        </w:r>
        <w:r>
          <w:rPr>
            <w:rStyle w:val="Hyperlink"/>
            <w:rFonts w:ascii="FrankRuehl" w:hAnsi="FrankRuehl" w:eastAsia="Times New Roman" w:cs="FrankRuehl"/>
            <w:rtl w:val="true"/>
            <w:lang w:eastAsia="he-IL"/>
          </w:rPr>
          <w:t>מדינת ישראל</w:t>
        </w:r>
        <w:r>
          <w:rPr>
            <w:rStyle w:val="Hyperlink"/>
            <w:rFonts w:eastAsia="Times New Roman" w:cs="FrankRuehl" w:ascii="FrankRuehl" w:hAnsi="FrankRuehl"/>
            <w:rtl w:val="true"/>
            <w:lang w:eastAsia="he-IL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rtl w:val="true"/>
            <w:lang w:eastAsia="he-IL"/>
          </w:rPr>
          <w:t>פ</w:t>
        </w:r>
        <w:r>
          <w:rPr>
            <w:rStyle w:val="Hyperlink"/>
            <w:rFonts w:eastAsia="Times New Roman" w:cs="FrankRuehl" w:ascii="FrankRuehl" w:hAnsi="FrankRuehl"/>
            <w:rtl w:val="true"/>
            <w:lang w:eastAsia="he-IL"/>
          </w:rPr>
          <w:t>''</w:t>
        </w:r>
        <w:r>
          <w:rPr>
            <w:rStyle w:val="Hyperlink"/>
            <w:rFonts w:ascii="FrankRuehl" w:hAnsi="FrankRuehl" w:eastAsia="Times New Roman" w:cs="FrankRuehl"/>
            <w:rtl w:val="true"/>
            <w:lang w:eastAsia="he-IL"/>
          </w:rPr>
          <w:t>ד נז</w:t>
        </w:r>
      </w:hyperlink>
      <w:r>
        <w:rPr>
          <w:rFonts w:eastAsia="Times New Roman" w:cs="FrankRuehl" w:ascii="FrankRuehl" w:hAnsi="FrankRuehl"/>
          <w:color w:val="000000"/>
          <w:rtl w:val="true"/>
          <w:lang w:eastAsia="he-IL"/>
        </w:rPr>
        <w:t>(</w:t>
      </w:r>
      <w:r>
        <w:rPr>
          <w:rFonts w:eastAsia="Times New Roman" w:cs="FrankRuehl" w:ascii="FrankRuehl" w:hAnsi="FrankRuehl"/>
          <w:color w:val="000000"/>
          <w:lang w:eastAsia="he-IL"/>
        </w:rPr>
        <w:t>1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) </w:t>
      </w:r>
      <w:r>
        <w:rPr>
          <w:rFonts w:eastAsia="Times New Roman" w:cs="FrankRuehl" w:ascii="FrankRuehl" w:hAnsi="FrankRuehl"/>
          <w:color w:val="000000"/>
          <w:lang w:eastAsia="he-IL"/>
        </w:rPr>
        <w:t>577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הסדר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הטיעון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בא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רקע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התרשמות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התביעה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בדבר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הקושי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שלה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להוכיח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את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שייחסה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לנאשמים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בכתב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האישום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המקורי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יש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להעמיד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את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התביעה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בחזקת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תקינותה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ובנסיבות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כאלה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ככלל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ניתן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להבין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הסדר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טיעון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המקל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נאשם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</w:rPr>
      </w:pP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ג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הודאת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הנאשמים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באה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רקע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הקשיים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הראייתיים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התביעה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ובמסגרת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הסדר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טיעון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הכולל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הסכמה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לעניין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העונש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שיומלץ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לבית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המשפט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להטיל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עליהם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יש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להניח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שלולא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מרכיב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זה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בהסדר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הטיעון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הנאשמים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לא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היו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מודים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במיוחס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להם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בכתב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האישום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המתוקן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ובנסיבות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ציפייתם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לכיבוד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הסדר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הטיעון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מובנת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ד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הודאת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הנאשמים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הביאה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לוודאות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הרשעתם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ולענישתם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הודאת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הנאשמים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חסכה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זמן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שיפוט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יקר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ומשאבים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ניכרים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הכרוכים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בשמיעת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הראיות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בהקשר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זה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יצוין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כי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רשימת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עדי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התביעה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בכתב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האישום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המקורי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כללה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למעלה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- </w:t>
      </w:r>
      <w:r>
        <w:rPr>
          <w:rFonts w:eastAsia="Times New Roman" w:cs="FrankRuehl" w:ascii="FrankRuehl" w:hAnsi="FrankRuehl"/>
          <w:color w:val="000000"/>
          <w:lang w:eastAsia="he-IL"/>
        </w:rPr>
        <w:t>40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עדים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(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כולל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"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עוקבים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"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ו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"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משקלטים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"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המופיעים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כקבוצה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אחת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color w:val="000000"/>
          <w:lang w:eastAsia="he-IL"/>
        </w:rPr>
      </w:pPr>
      <w:r>
        <w:rPr>
          <w:rFonts w:eastAsia="Times New Roman"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eastAsia="Times New Roman" w:cs="FrankRuehl"/>
          <w:b/>
          <w:bCs/>
          <w:color w:val="000000"/>
          <w:u w:val="single"/>
          <w:lang w:eastAsia="he-IL"/>
        </w:rPr>
      </w:pPr>
      <w:r>
        <w:rPr>
          <w:rFonts w:eastAsia="Times New Roman" w:cs="FrankRuehl" w:ascii="FrankRuehl" w:hAnsi="FrankRuehl"/>
          <w:color w:val="000000"/>
          <w:lang w:eastAsia="he-IL"/>
        </w:rPr>
        <w:t>8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בהתחשב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בתקופות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המאסר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הקצרות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יחסית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שיוטלו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הנאשמים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ובהתחשב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בעברם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הפלילי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ובסכנה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שהם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ישובו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ויפשעו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יש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להחמיר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במרכיב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המאסר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תנאי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שיוטל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עליהם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eastAsia="Times New Roman" w:cs="FrankRuehl"/>
          <w:b/>
          <w:bCs/>
          <w:color w:val="000000"/>
          <w:u w:val="single"/>
          <w:lang w:eastAsia="he-IL"/>
        </w:rPr>
      </w:pPr>
      <w:r>
        <w:rPr>
          <w:rFonts w:eastAsia="Times New Roman" w:cs="FrankRuehl" w:ascii="FrankRuehl" w:hAnsi="FrankRuehl"/>
          <w:b/>
          <w:bCs/>
          <w:color w:val="000000"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color w:val="000000"/>
          <w:lang w:eastAsia="he-IL"/>
        </w:rPr>
      </w:pPr>
      <w:r>
        <w:rPr>
          <w:rFonts w:eastAsia="Times New Roman" w:cs="FrankRuehl" w:ascii="FrankRuehl" w:hAnsi="FrankRuehl"/>
          <w:color w:val="000000"/>
          <w:lang w:eastAsia="he-IL"/>
        </w:rPr>
        <w:t>9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נוכח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כל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האמור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אני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מטיל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הנאשמים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את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העונשים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הבאים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color w:val="000000"/>
          <w:lang w:eastAsia="he-IL"/>
        </w:rPr>
      </w:pPr>
      <w:r>
        <w:rPr>
          <w:rFonts w:eastAsia="Times New Roman"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eastAsia="Times New Roman" w:cs="FrankRuehl"/>
          <w:b/>
          <w:b/>
          <w:bCs/>
          <w:color w:val="000000"/>
          <w:u w:val="single"/>
          <w:rtl w:val="true"/>
          <w:lang w:eastAsia="he-IL"/>
        </w:rPr>
        <w:t>הנאשם</w:t>
      </w:r>
      <w:r>
        <w:rPr>
          <w:rFonts w:ascii="FrankRuehl" w:hAnsi="FrankRuehl" w:eastAsia="Times New Roman" w:cs="FrankRuehl"/>
          <w:b/>
          <w:b/>
          <w:bCs/>
          <w:color w:val="000000"/>
          <w:u w:val="single"/>
          <w:rtl w:val="true"/>
          <w:lang w:eastAsia="he-IL"/>
        </w:rPr>
        <w:t xml:space="preserve"> </w:t>
      </w:r>
      <w:r>
        <w:rPr>
          <w:rFonts w:eastAsia="Times New Roman" w:cs="FrankRuehl" w:ascii="FrankRuehl" w:hAnsi="FrankRuehl"/>
          <w:b/>
          <w:bCs/>
          <w:color w:val="000000"/>
          <w:u w:val="single"/>
          <w:lang w:eastAsia="he-IL"/>
        </w:rPr>
        <w:t>1</w:t>
      </w:r>
      <w:r>
        <w:rPr>
          <w:rFonts w:eastAsia="Times New Roman" w:cs="FrankRuehl" w:ascii="FrankRuehl" w:hAnsi="FrankRuehl"/>
          <w:b/>
          <w:bCs/>
          <w:color w:val="000000"/>
          <w:u w:val="single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eastAsia="Times New Roman" w:cs="FrankRuehl" w:ascii="FrankRuehl" w:hAnsi="FrankRuehl"/>
          <w:color w:val="000000"/>
          <w:lang w:eastAsia="he-IL"/>
        </w:rPr>
        <w:t>1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eastAsia="Times New Roman" w:cs="FrankRuehl" w:ascii="FrankRuehl" w:hAnsi="FrankRuehl"/>
          <w:color w:val="000000"/>
          <w:lang w:eastAsia="he-IL"/>
        </w:rPr>
        <w:t>36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חודשי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מאסר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בפועל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מיום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eastAsia="Times New Roman" w:cs="FrankRuehl" w:ascii="FrankRuehl" w:hAnsi="FrankRuehl"/>
          <w:color w:val="000000"/>
          <w:lang w:eastAsia="he-IL"/>
        </w:rPr>
        <w:t>15.12.14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 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eastAsia="Times New Roman" w:cs="FrankRuehl" w:ascii="FrankRuehl" w:hAnsi="FrankRuehl"/>
          <w:color w:val="000000"/>
          <w:lang w:eastAsia="he-IL"/>
        </w:rPr>
        <w:t>2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eastAsia="Times New Roman" w:cs="FrankRuehl" w:ascii="FrankRuehl" w:hAnsi="FrankRuehl"/>
          <w:color w:val="000000"/>
          <w:lang w:eastAsia="he-IL"/>
        </w:rPr>
        <w:t>30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חודשי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מאסר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תנאי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למשך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eastAsia="Times New Roman" w:cs="FrankRuehl" w:ascii="FrankRuehl" w:hAnsi="FrankRuehl"/>
          <w:color w:val="000000"/>
          <w:lang w:eastAsia="he-IL"/>
        </w:rPr>
        <w:t>3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שנים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מיום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שחרורו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מהמאסר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שלא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יעבור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עבירת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נשק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או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עבירת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אלימות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המוגדרות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כפשע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eastAsia="Times New Roman" w:cs="FrankRuehl"/>
          <w:b/>
          <w:bCs/>
          <w:color w:val="000000"/>
          <w:u w:val="single"/>
          <w:lang w:eastAsia="he-IL"/>
        </w:rPr>
      </w:pPr>
      <w:r>
        <w:rPr>
          <w:rFonts w:eastAsia="Times New Roman" w:cs="FrankRuehl" w:ascii="FrankRuehl" w:hAnsi="FrankRuehl"/>
          <w:b/>
          <w:bCs/>
          <w:color w:val="000000"/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eastAsia="Times New Roman" w:cs="FrankRuehl"/>
          <w:b/>
          <w:b/>
          <w:bCs/>
          <w:color w:val="000000"/>
          <w:u w:val="single"/>
          <w:rtl w:val="true"/>
          <w:lang w:eastAsia="he-IL"/>
        </w:rPr>
        <w:t>הנאשם</w:t>
      </w:r>
      <w:r>
        <w:rPr>
          <w:rFonts w:ascii="FrankRuehl" w:hAnsi="FrankRuehl" w:eastAsia="Times New Roman" w:cs="FrankRuehl"/>
          <w:b/>
          <w:b/>
          <w:bCs/>
          <w:color w:val="000000"/>
          <w:u w:val="single"/>
          <w:rtl w:val="true"/>
          <w:lang w:eastAsia="he-IL"/>
        </w:rPr>
        <w:t xml:space="preserve"> </w:t>
      </w:r>
      <w:r>
        <w:rPr>
          <w:rFonts w:eastAsia="Times New Roman" w:cs="FrankRuehl" w:ascii="FrankRuehl" w:hAnsi="FrankRuehl"/>
          <w:b/>
          <w:bCs/>
          <w:color w:val="000000"/>
          <w:u w:val="single"/>
          <w:lang w:eastAsia="he-IL"/>
        </w:rPr>
        <w:t>3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eastAsia="Times New Roman" w:cs="FrankRuehl" w:ascii="FrankRuehl" w:hAnsi="FrankRuehl"/>
          <w:color w:val="000000"/>
          <w:lang w:eastAsia="he-IL"/>
        </w:rPr>
        <w:t>1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eastAsia="Times New Roman" w:cs="FrankRuehl" w:ascii="FrankRuehl" w:hAnsi="FrankRuehl"/>
          <w:color w:val="000000"/>
          <w:lang w:eastAsia="he-IL"/>
        </w:rPr>
        <w:t>12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חודשי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מאסר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בפועל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מיום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eastAsia="Times New Roman" w:cs="FrankRuehl" w:ascii="FrankRuehl" w:hAnsi="FrankRuehl"/>
          <w:color w:val="000000"/>
          <w:lang w:eastAsia="he-IL"/>
        </w:rPr>
        <w:t>15.12.14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 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eastAsia="Times New Roman" w:cs="FrankRuehl"/>
          <w:b/>
          <w:bCs/>
          <w:color w:val="000000"/>
          <w:lang w:eastAsia="he-IL"/>
        </w:rPr>
      </w:pPr>
      <w:r>
        <w:rPr>
          <w:rFonts w:eastAsia="Times New Roman" w:cs="FrankRuehl" w:ascii="FrankRuehl" w:hAnsi="FrankRuehl"/>
          <w:color w:val="000000"/>
          <w:lang w:eastAsia="he-IL"/>
        </w:rPr>
        <w:t>2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eastAsia="Times New Roman" w:cs="FrankRuehl" w:ascii="FrankRuehl" w:hAnsi="FrankRuehl"/>
          <w:color w:val="000000"/>
          <w:lang w:eastAsia="he-IL"/>
        </w:rPr>
        <w:t>30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חודשי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מאסר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על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תנאי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למשך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eastAsia="Times New Roman" w:cs="FrankRuehl" w:ascii="FrankRuehl" w:hAnsi="FrankRuehl"/>
          <w:color w:val="000000"/>
          <w:lang w:eastAsia="he-IL"/>
        </w:rPr>
        <w:t>3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שנים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מיום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שחרורו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מהמאסר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שלא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יעבור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עבירת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נשק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או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עבירת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אלימות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המוגדרות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color w:val="000000"/>
          <w:rtl w:val="true"/>
          <w:lang w:eastAsia="he-IL"/>
        </w:rPr>
        <w:t>כפשע</w:t>
      </w:r>
      <w:r>
        <w:rPr>
          <w:rFonts w:eastAsia="Times New Roman"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eastAsia="Times New Roman" w:cs="FrankRuehl"/>
          <w:b/>
          <w:bCs/>
          <w:color w:val="000000"/>
          <w:lang w:eastAsia="he-IL"/>
        </w:rPr>
      </w:pPr>
      <w:r>
        <w:rPr>
          <w:rFonts w:eastAsia="Times New Roman" w:cs="FrankRuehl" w:ascii="FrankRuehl" w:hAnsi="FrankRuehl"/>
          <w:b/>
          <w:bCs/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FrankRuehl" w:hAnsi="FrankRuehl" w:eastAsia="Times New Roman" w:cs="FrankRuehl"/>
          <w:b/>
          <w:b/>
          <w:bCs/>
          <w:color w:val="000000"/>
          <w:rtl w:val="true"/>
          <w:lang w:eastAsia="he-IL"/>
        </w:rPr>
        <w:t>זכות</w:t>
      </w:r>
      <w:r>
        <w:rPr>
          <w:rFonts w:ascii="FrankRuehl" w:hAnsi="FrankRuehl" w:eastAsia="Times New Roman" w:cs="FrankRuehl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rtl w:val="true"/>
          <w:lang w:eastAsia="he-IL"/>
        </w:rPr>
        <w:t>ערעור</w:t>
      </w:r>
      <w:r>
        <w:rPr>
          <w:rFonts w:ascii="FrankRuehl" w:hAnsi="FrankRuehl" w:eastAsia="Times New Roman" w:cs="FrankRuehl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rtl w:val="true"/>
          <w:lang w:eastAsia="he-IL"/>
        </w:rPr>
        <w:t>תוך</w:t>
      </w:r>
      <w:r>
        <w:rPr>
          <w:rFonts w:ascii="FrankRuehl" w:hAnsi="FrankRuehl" w:eastAsia="Times New Roman" w:cs="FrankRuehl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eastAsia="Times New Roman" w:cs="FrankRuehl" w:ascii="FrankRuehl" w:hAnsi="FrankRuehl"/>
          <w:b/>
          <w:bCs/>
          <w:color w:val="000000"/>
          <w:lang w:eastAsia="he-IL"/>
        </w:rPr>
        <w:t>45</w:t>
      </w:r>
      <w:r>
        <w:rPr>
          <w:rFonts w:eastAsia="Times New Roman" w:cs="FrankRuehl" w:ascii="FrankRuehl" w:hAnsi="FrankRuehl"/>
          <w:b/>
          <w:bCs/>
          <w:color w:val="000000"/>
          <w:rtl w:val="true"/>
          <w:lang w:eastAsia="he-IL"/>
        </w:rPr>
        <w:t xml:space="preserve"> </w:t>
      </w:r>
      <w:r>
        <w:rPr>
          <w:rFonts w:ascii="FrankRuehl" w:hAnsi="FrankRuehl" w:eastAsia="Times New Roman" w:cs="FrankRuehl"/>
          <w:b/>
          <w:b/>
          <w:bCs/>
          <w:color w:val="000000"/>
          <w:rtl w:val="true"/>
          <w:lang w:eastAsia="he-IL"/>
        </w:rPr>
        <w:t>יום</w:t>
      </w:r>
      <w:r>
        <w:rPr>
          <w:rFonts w:eastAsia="Times New Roman" w:cs="FrankRuehl" w:ascii="FrankRuehl" w:hAnsi="FrankRuehl"/>
          <w:b/>
          <w:bCs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eastAsia="Times New Roman" w:cs="FrankRuehl"/>
          <w:b/>
          <w:bCs/>
          <w:color w:val="000000"/>
          <w:lang w:eastAsia="he-IL"/>
        </w:rPr>
      </w:pPr>
      <w:r>
        <w:rPr>
          <w:rFonts w:eastAsia="Times New Roman" w:cs="FrankRuehl" w:ascii="FrankRuehl" w:hAnsi="FrankRuehl"/>
          <w:b/>
          <w:bCs/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eastAsia="Times New Roman" w:cs="FrankRuehl"/>
          <w:b/>
          <w:bCs/>
          <w:color w:val="000000"/>
          <w:lang w:eastAsia="he-IL"/>
        </w:rPr>
      </w:pPr>
      <w:r>
        <w:rPr>
          <w:rFonts w:eastAsia="Times New Roman" w:cs="FrankRuehl" w:ascii="FrankRuehl" w:hAnsi="FrankRuehl"/>
          <w:b/>
          <w:bCs/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eastAsia="Times New Roman" w:cs="FrankRuehl"/>
          <w:b/>
          <w:bCs/>
          <w:color w:val="000000"/>
          <w:sz w:val="6"/>
          <w:szCs w:val="6"/>
          <w:lang w:eastAsia="he-IL"/>
        </w:rPr>
      </w:pPr>
      <w:r>
        <w:rPr>
          <w:rFonts w:eastAsia="Times New Roman" w:cs="FrankRuehl" w:ascii="FrankRuehl" w:hAnsi="FrankRuehl"/>
          <w:b/>
          <w:bCs/>
          <w:color w:val="000000"/>
          <w:sz w:val="6"/>
          <w:szCs w:val="6"/>
          <w:rtl w:val="true"/>
          <w:lang w:eastAsia="he-IL"/>
        </w:rPr>
        <w:t>&lt;</w:t>
      </w:r>
      <w:r>
        <w:rPr>
          <w:rFonts w:eastAsia="Times New Roman" w:cs="FrankRuehl" w:ascii="FrankRuehl" w:hAnsi="FrankRuehl"/>
          <w:b/>
          <w:bCs/>
          <w:color w:val="000000"/>
          <w:sz w:val="6"/>
          <w:szCs w:val="6"/>
          <w:lang w:eastAsia="he-IL"/>
        </w:rPr>
        <w:t>#4#</w:t>
      </w:r>
      <w:r>
        <w:rPr>
          <w:rFonts w:eastAsia="Times New Roman" w:cs="FrankRuehl" w:ascii="FrankRuehl" w:hAnsi="FrankRuehl"/>
          <w:b/>
          <w:bCs/>
          <w:color w:val="000000"/>
          <w:sz w:val="6"/>
          <w:szCs w:val="6"/>
          <w:rtl w:val="true"/>
          <w:lang w:eastAsia="he-IL"/>
        </w:rPr>
        <w:t>&gt;</w:t>
      </w:r>
    </w:p>
    <w:p>
      <w:pPr>
        <w:pStyle w:val="Normal"/>
        <w:ind w:end="0"/>
        <w:jc w:val="end"/>
        <w:rPr>
          <w:rFonts w:ascii="FrankRuehl" w:hAnsi="FrankRuehl" w:eastAsia="Times New Roman" w:cs="FrankRuehl"/>
          <w:b/>
          <w:bCs/>
          <w:color w:val="000000"/>
          <w:sz w:val="6"/>
          <w:szCs w:val="6"/>
          <w:lang w:eastAsia="he-IL"/>
        </w:rPr>
      </w:pPr>
      <w:r>
        <w:rPr>
          <w:rFonts w:eastAsia="Times New Roman" w:cs="FrankRuehl" w:ascii="FrankRuehl" w:hAnsi="FrankRuehl"/>
          <w:b/>
          <w:bCs/>
          <w:color w:val="000000"/>
          <w:sz w:val="6"/>
          <w:szCs w:val="6"/>
          <w:rtl w:val="true"/>
          <w:lang w:eastAsia="he-IL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08/09/2015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/>
      </w:pPr>
      <w:r>
        <w:rPr/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אליהו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ביתן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56232-12-14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אדי יהודה מכלוף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56232-12-14"/>
    <w:docVar w:name="caseId" w:val="72397017"/>
    <w:docVar w:name="deriveClass" w:val="NGCS.Protocol.BL.Client.ProtocolBLClientCriminal"/>
    <w:docVar w:name="firstPageNumber" w:val="14"/>
    <w:docVar w:name="MyInfo" w:val="This document was extracted from Nevo's site"/>
    <w:docVar w:name="NGCS.caseTypeID" w:val="-1"/>
    <w:docVar w:name="NGCS.courtID" w:val="16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062732334@GOV.IL"/>
    <w:docVar w:name="privellegeId" w:val="1"/>
    <w:docVar w:name="protocolId" w:val="5993032"/>
    <w:docVar w:name="releaseSign" w:val="0"/>
    <w:docVar w:name="sittingDateTime" w:val="08/09/2015 09:00     "/>
    <w:docVar w:name="sittingId" w:val="79359330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case/2530200" TargetMode="External"/><Relationship Id="rId16" Type="http://schemas.openxmlformats.org/officeDocument/2006/relationships/hyperlink" Target="http://www.nevo.co.il/case/5910650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2015-09-10T07:06:00Z</dcterms:created>
  <dc:creator> </dc:creator>
  <dc:description/>
  <cp:keywords/>
  <dc:language>en-IL</dc:language>
  <cp:lastModifiedBy>orly</cp:lastModifiedBy>
  <dcterms:modified xsi:type="dcterms:W3CDTF">2015-09-10T07:06:00Z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אדי יהודה מכלוף;שי אונדרה וורו;אברהם זהבי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2530200;5910650</vt:lpwstr>
  </property>
  <property fmtid="{D5CDD505-2E9C-101B-9397-08002B2CF9AE}" pid="9" name="CITY">
    <vt:lpwstr>ב"ש</vt:lpwstr>
  </property>
  <property fmtid="{D5CDD505-2E9C-101B-9397-08002B2CF9AE}" pid="10" name="DATE">
    <vt:lpwstr>20150908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70301/144.a:3;144.b:3;025:2</vt:lpwstr>
  </property>
  <property fmtid="{D5CDD505-2E9C-101B-9397-08002B2CF9AE}" pid="15" name="LAWYER">
    <vt:lpwstr>טלי פלדמן;משה יוחאי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56232</vt:lpwstr>
  </property>
  <property fmtid="{D5CDD505-2E9C-101B-9397-08002B2CF9AE}" pid="23" name="NEWPARTB">
    <vt:lpwstr>12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הסדר טיעון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1446;1446;461</vt:lpwstr>
  </property>
  <property fmtid="{D5CDD505-2E9C-101B-9397-08002B2CF9AE}" pid="48" name="NOSE31">
    <vt:lpwstr>הסדר טיעון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>אישורו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15822;13800;3608</vt:lpwstr>
  </property>
  <property fmtid="{D5CDD505-2E9C-101B-9397-08002B2CF9AE}" pid="59" name="PADIDATE">
    <vt:lpwstr>20150910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390120150908</vt:lpwstr>
  </property>
  <property fmtid="{D5CDD505-2E9C-101B-9397-08002B2CF9AE}" pid="69" name="TYPE_N_DATE">
    <vt:lpwstr>39020150908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