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56282-02-12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זנון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2013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83"/>
        <w:gridCol w:w="923"/>
        <w:gridCol w:w="6133"/>
        <w:gridCol w:w="81"/>
      </w:tblGrid>
      <w:tr>
        <w:trPr>
          <w:trHeight w:val="337" w:hRule="atLeast"/>
        </w:trPr>
        <w:tc>
          <w:tcPr>
            <w:tcW w:w="1583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7056" w:type="dxa"/>
            <w:gridSpan w:val="2"/>
            <w:tcBorders/>
          </w:tcPr>
          <w:p>
            <w:pPr>
              <w:pStyle w:val="Header"/>
              <w:spacing w:lineRule="auto" w:line="360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56263-02-12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639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שופט אליהו ביתן 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eastAsia="Times New Roman" w:cs="Times New Roman"/>
              </w:rPr>
            </w:pPr>
            <w:r>
              <w:rPr>
                <w:rFonts w:eastAsia="Times New Roman" w:cs="Times New Roman" w:ascii="Arial" w:hAnsi="Arial"/>
                <w:rtl w:val="true"/>
              </w:rPr>
            </w:r>
          </w:p>
        </w:tc>
      </w:tr>
      <w:tr>
        <w:trPr/>
        <w:tc>
          <w:tcPr>
            <w:tcW w:w="2506" w:type="dxa"/>
            <w:gridSpan w:val="2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6214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720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30"/>
                <w:sz w:val="30"/>
                <w:szCs w:val="30"/>
                <w:rtl w:val="true"/>
              </w:rPr>
              <w:t>נגד</w:t>
            </w:r>
          </w:p>
        </w:tc>
      </w:tr>
      <w:tr>
        <w:trPr/>
        <w:tc>
          <w:tcPr>
            <w:tcW w:w="2506" w:type="dxa"/>
            <w:gridSpan w:val="2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6214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 xml:space="preserve">סווילם זנון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>)</w:t>
            </w:r>
          </w:p>
        </w:tc>
      </w:tr>
    </w:tbl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איילת קדוש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ובא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כוחו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תורג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 xml:space="preserve">מן שמעון 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לאחר שמיעת שני עדי תביעה</w:t>
      </w:r>
      <w:r>
        <w:rPr>
          <w:rtl w:val="true"/>
        </w:rPr>
        <w:t xml:space="preserve">, </w:t>
      </w:r>
      <w:r>
        <w:rPr>
          <w:rtl w:val="true"/>
        </w:rPr>
        <w:t>הגיעו הצדדים להסדר טיעון במסגרתו כתב האישום המקורי שהוגש נגד הנאשם תוקן והנאשם הודה בעובדות כתב האישום המתוקן והורשע ב</w:t>
      </w:r>
      <w:bookmarkStart w:id="6" w:name="ABSTRACT_START"/>
      <w:bookmarkEnd w:id="6"/>
      <w:r>
        <w:rPr>
          <w:rtl w:val="true"/>
        </w:rPr>
        <w:t>קשירת קשר לפשע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r>
        <w:rPr/>
        <w:t>499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 xml:space="preserve">בעבירות נשק </w:t>
      </w:r>
      <w:r>
        <w:rPr>
          <w:rtl w:val="true"/>
        </w:rPr>
        <w:t>(</w:t>
      </w:r>
      <w:r>
        <w:rPr>
          <w:rtl w:val="true"/>
        </w:rPr>
        <w:t>עסקה אחרת</w:t>
      </w:r>
      <w:r>
        <w:rPr>
          <w:rtl w:val="true"/>
        </w:rPr>
        <w:t xml:space="preserve">), </w:t>
      </w:r>
      <w:r>
        <w:rPr>
          <w:rtl w:val="true"/>
        </w:rPr>
        <w:t xml:space="preserve">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לחוק ובקבלת רכוש שהושג בפשע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r>
        <w:rPr/>
        <w:t>411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  <w:bookmarkStart w:id="7" w:name="ABSTRACT_END"/>
      <w:bookmarkEnd w:id="7"/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עיקרי עובדות כתב האישום המתוקן הם כדלהלן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הנאשם הינו סוחר מתכות</w:t>
      </w:r>
      <w:r>
        <w:rPr>
          <w:rtl w:val="true"/>
        </w:rPr>
        <w:t xml:space="preserve">. </w:t>
      </w:r>
      <w:r>
        <w:rPr>
          <w:rtl w:val="true"/>
        </w:rPr>
        <w:t xml:space="preserve">סמוך לתחילת חודש נובמבר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התקשר אליו אחיו</w:t>
      </w:r>
      <w:r>
        <w:rPr>
          <w:rtl w:val="true"/>
        </w:rPr>
        <w:t xml:space="preserve">, </w:t>
      </w:r>
      <w:r>
        <w:rPr>
          <w:rtl w:val="true"/>
        </w:rPr>
        <w:t xml:space="preserve">עאיש זנון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עאיש</w:t>
      </w:r>
      <w:r>
        <w:rPr>
          <w:rtl w:val="true"/>
        </w:rPr>
        <w:t xml:space="preserve">"), </w:t>
      </w:r>
      <w:r>
        <w:rPr>
          <w:rtl w:val="true"/>
        </w:rPr>
        <w:t xml:space="preserve">והודיע לו כי יש ברשותו </w:t>
      </w:r>
      <w:r>
        <w:rPr>
          <w:rtl w:val="true"/>
        </w:rPr>
        <w:t>"</w:t>
      </w:r>
      <w:r>
        <w:rPr>
          <w:rtl w:val="true"/>
        </w:rPr>
        <w:t>זרבטאן</w:t>
      </w:r>
      <w:r>
        <w:rPr>
          <w:rtl w:val="true"/>
        </w:rPr>
        <w:t xml:space="preserve">"- </w:t>
      </w:r>
      <w:r>
        <w:rPr>
          <w:rtl w:val="true"/>
        </w:rPr>
        <w:t xml:space="preserve">כינוי לראש החץ בפגזי </w:t>
      </w:r>
      <w:r>
        <w:rPr/>
        <w:t>105</w:t>
      </w:r>
      <w:r>
        <w:rPr>
          <w:rtl w:val="true"/>
        </w:rPr>
        <w:t xml:space="preserve"> </w:t>
      </w:r>
      <w:r>
        <w:rPr>
          <w:rtl w:val="true"/>
        </w:rPr>
        <w:t>חודרי שריון</w:t>
      </w:r>
      <w:r>
        <w:rPr>
          <w:rtl w:val="true"/>
        </w:rPr>
        <w:t xml:space="preserve">, </w:t>
      </w:r>
      <w:r>
        <w:rPr>
          <w:rtl w:val="true"/>
        </w:rPr>
        <w:t xml:space="preserve">העשוי ממתכת טונגסטן </w:t>
      </w:r>
      <w:r>
        <w:rPr>
          <w:rtl w:val="true"/>
        </w:rPr>
        <w:t xml:space="preserve">- </w:t>
      </w:r>
      <w:r>
        <w:rPr>
          <w:rtl w:val="true"/>
        </w:rPr>
        <w:t>אלומיניום ותרמילים של פגזים</w:t>
      </w:r>
      <w:r>
        <w:rPr>
          <w:rtl w:val="true"/>
        </w:rPr>
        <w:t xml:space="preserve">. </w:t>
      </w:r>
      <w:r>
        <w:rPr>
          <w:rtl w:val="true"/>
        </w:rPr>
        <w:t xml:space="preserve">הנאשם הציע לרכוש ממנו את הזרבטאן במחיר של </w:t>
      </w:r>
      <w:r>
        <w:rPr/>
        <w:t>75</w:t>
      </w:r>
      <w:r>
        <w:rPr>
          <w:rtl w:val="true"/>
        </w:rPr>
        <w:t xml:space="preserve"> ₪ </w:t>
      </w:r>
      <w:r>
        <w:rPr>
          <w:rtl w:val="true"/>
        </w:rPr>
        <w:t>לקילוגרם</w:t>
      </w:r>
      <w:r>
        <w:rPr>
          <w:rtl w:val="true"/>
        </w:rPr>
        <w:t xml:space="preserve">, </w:t>
      </w:r>
      <w:r>
        <w:rPr>
          <w:rtl w:val="true"/>
        </w:rPr>
        <w:t>כשהוא מודע לכך שמדובר ברכוש שהושג בפשע</w:t>
      </w:r>
      <w:r>
        <w:rPr>
          <w:rtl w:val="true"/>
        </w:rPr>
        <w:t xml:space="preserve">, </w:t>
      </w:r>
      <w:r>
        <w:rPr>
          <w:rtl w:val="true"/>
        </w:rPr>
        <w:t>מבסיס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וכי מדובר בחלקי פגזים שמהווים תחמושת</w:t>
      </w:r>
      <w:r>
        <w:rPr>
          <w:rtl w:val="true"/>
        </w:rPr>
        <w:t xml:space="preserve">. </w:t>
      </w:r>
      <w:r>
        <w:rPr>
          <w:rtl w:val="true"/>
        </w:rPr>
        <w:t>ועאיש העביר את מוטות הטונגסטן לנאשם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הנאשם יצר קשר עם אדם בשם שלמה ארביב</w:t>
      </w:r>
      <w:r>
        <w:rPr>
          <w:rtl w:val="true"/>
        </w:rPr>
        <w:t xml:space="preserve">, </w:t>
      </w:r>
      <w:r>
        <w:rPr>
          <w:rtl w:val="true"/>
        </w:rPr>
        <w:t>שאף הוא סוחר בברזל</w:t>
      </w:r>
      <w:r>
        <w:rPr>
          <w:rtl w:val="true"/>
        </w:rPr>
        <w:t xml:space="preserve">, </w:t>
      </w:r>
      <w:r>
        <w:rPr>
          <w:rtl w:val="true"/>
        </w:rPr>
        <w:t>הציע למכור לו זרבטאן ובהמשך מכר לו זרבטאן בכ</w:t>
      </w:r>
      <w:r>
        <w:rPr>
          <w:rtl w:val="true"/>
        </w:rPr>
        <w:t xml:space="preserve">- </w:t>
      </w:r>
      <w:r>
        <w:rPr/>
        <w:t>40,000</w:t>
      </w:r>
      <w:r>
        <w:rPr>
          <w:rtl w:val="true"/>
        </w:rPr>
        <w:t xml:space="preserve"> ₪. </w:t>
      </w:r>
      <w:r>
        <w:rPr>
          <w:rtl w:val="true"/>
        </w:rPr>
        <w:t xml:space="preserve">מתוך סכום זה הוא נטל לעצמו </w:t>
      </w:r>
      <w:r>
        <w:rPr/>
        <w:t>3,000</w:t>
      </w:r>
      <w:r>
        <w:rPr>
          <w:rtl w:val="true"/>
        </w:rPr>
        <w:t xml:space="preserve"> ₪ </w:t>
      </w:r>
      <w:r>
        <w:rPr>
          <w:rtl w:val="true"/>
        </w:rPr>
        <w:t>ואת היתרה העביר לעאיש</w:t>
      </w:r>
      <w:r>
        <w:rPr>
          <w:rtl w:val="true"/>
        </w:rPr>
        <w:t xml:space="preserve">. </w:t>
      </w:r>
      <w:r>
        <w:rPr>
          <w:rtl w:val="true"/>
        </w:rPr>
        <w:t>עאיש שיתף את הנאשם בכך שהוא ואחרים גונבים הפגזים מבסיס צה</w:t>
      </w:r>
      <w:r>
        <w:rPr>
          <w:rtl w:val="true"/>
        </w:rPr>
        <w:t>"</w:t>
      </w:r>
      <w:r>
        <w:rPr>
          <w:rtl w:val="true"/>
        </w:rPr>
        <w:t>ל ומפרקים אותם לשם מכירת חלקיהם</w:t>
      </w:r>
      <w:r>
        <w:rPr>
          <w:rtl w:val="true"/>
        </w:rPr>
        <w:t xml:space="preserve">, </w:t>
      </w:r>
      <w:r>
        <w:rPr>
          <w:rtl w:val="true"/>
        </w:rPr>
        <w:t>והציע לנאשם להצטרף לקשר</w:t>
      </w:r>
      <w:r>
        <w:rPr>
          <w:rtl w:val="true"/>
        </w:rPr>
        <w:t xml:space="preserve">. </w:t>
      </w:r>
      <w:r>
        <w:rPr>
          <w:rtl w:val="true"/>
        </w:rPr>
        <w:t>הנאשם הסכים</w:t>
      </w:r>
      <w:r>
        <w:rPr>
          <w:rtl w:val="true"/>
        </w:rPr>
        <w:t xml:space="preserve">, </w:t>
      </w:r>
      <w:r>
        <w:rPr>
          <w:rtl w:val="true"/>
        </w:rPr>
        <w:t>ובמסגרת הקשר הוא תיווך</w:t>
      </w:r>
      <w:r>
        <w:rPr>
          <w:rtl w:val="true"/>
        </w:rPr>
        <w:t xml:space="preserve">, </w:t>
      </w:r>
      <w:r>
        <w:rPr>
          <w:rtl w:val="true"/>
        </w:rPr>
        <w:t>מספר פעמים</w:t>
      </w:r>
      <w:r>
        <w:rPr>
          <w:rtl w:val="true"/>
        </w:rPr>
        <w:t xml:space="preserve">, </w:t>
      </w:r>
      <w:r>
        <w:rPr>
          <w:rtl w:val="true"/>
        </w:rPr>
        <w:t>במכירת חלקי הפגזים לאחר</w:t>
      </w:r>
      <w:r>
        <w:rPr>
          <w:rtl w:val="true"/>
        </w:rPr>
        <w:t xml:space="preserve">. </w:t>
      </w:r>
      <w:r>
        <w:rPr>
          <w:rtl w:val="true"/>
        </w:rPr>
        <w:t xml:space="preserve">בכל אחת מהעסקאות קיבל הנאשם מהקונה סכום שנע בין </w:t>
      </w:r>
      <w:r>
        <w:rPr/>
        <w:t>110.000</w:t>
      </w:r>
      <w:r>
        <w:rPr>
          <w:rtl w:val="true"/>
        </w:rPr>
        <w:t xml:space="preserve"> ₪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150.000</w:t>
      </w:r>
      <w:r>
        <w:rPr>
          <w:rtl w:val="true"/>
        </w:rPr>
        <w:t xml:space="preserve"> ₪ </w:t>
      </w:r>
      <w:r>
        <w:rPr>
          <w:rtl w:val="true"/>
        </w:rPr>
        <w:t xml:space="preserve">והוא נטל לעצמו עמלה של </w:t>
      </w:r>
      <w:r>
        <w:rPr/>
        <w:t>3000</w:t>
      </w:r>
      <w:r>
        <w:rPr>
          <w:rtl w:val="true"/>
        </w:rPr>
        <w:t xml:space="preserve"> ₪ </w:t>
      </w:r>
      <w:r>
        <w:rPr>
          <w:rtl w:val="true"/>
        </w:rPr>
        <w:t>והעביר את יתרת הכסף לקושרים האחרים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 xml:space="preserve">הנאשם והאחרים ביצעו את המעשים המתוארים עד סמוך לתחילת חודש ינואר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והם קיבלו ממכירת חלקי הפגזים לפחות כחצי מיליון 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במסגרת הסדר הטיעון המליצו הצדדים לבית המשפט להטיל על הנאשם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מיום מעצרו</w:t>
      </w:r>
      <w:r>
        <w:rPr>
          <w:rtl w:val="true"/>
        </w:rPr>
        <w:t xml:space="preserve">- </w:t>
      </w:r>
      <w:r>
        <w:rPr/>
        <w:t>07.02.12</w:t>
      </w:r>
      <w:r>
        <w:rPr>
          <w:rtl w:val="true"/>
        </w:rPr>
        <w:t xml:space="preserve">, </w:t>
      </w:r>
      <w:r>
        <w:rPr>
          <w:rtl w:val="true"/>
        </w:rPr>
        <w:t>ומאסר על תנאי</w:t>
      </w:r>
      <w:r>
        <w:rPr>
          <w:rtl w:val="true"/>
        </w:rPr>
        <w:t xml:space="preserve">. </w:t>
      </w:r>
      <w:r>
        <w:rPr>
          <w:rtl w:val="true"/>
        </w:rPr>
        <w:t xml:space="preserve">והוסכם שהתביעה תעתור להטיל על הנאשם קנס ולחלט את רכבו </w:t>
      </w:r>
      <w:r>
        <w:rPr>
          <w:rtl w:val="true"/>
        </w:rPr>
        <w:t xml:space="preserve">- </w:t>
      </w:r>
      <w:r>
        <w:rPr>
          <w:rtl w:val="true"/>
        </w:rPr>
        <w:t>בו עשה שימוש בחלק מהעבירות</w:t>
      </w:r>
      <w:r>
        <w:rPr>
          <w:rtl w:val="true"/>
        </w:rPr>
        <w:t xml:space="preserve">, </w:t>
      </w:r>
      <w:r>
        <w:rPr>
          <w:rtl w:val="true"/>
        </w:rPr>
        <w:t>וההגנה תטען בעניינים אלה כרצונה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התביעה הסבירה את הסדר הטיעון בכך שחלקו של הנאשם בפרשה והרווח הכספי שהפיק נמצאים במדרג נמוך ביחס לשני המעורבים האחרים בפרשה</w:t>
      </w:r>
      <w:r>
        <w:rPr>
          <w:rtl w:val="true"/>
        </w:rPr>
        <w:t xml:space="preserve">, </w:t>
      </w:r>
      <w:r>
        <w:rPr>
          <w:rtl w:val="true"/>
        </w:rPr>
        <w:t>שהם אלה שפרצו לבסיס הצבאי</w:t>
      </w:r>
      <w:r>
        <w:rPr>
          <w:rtl w:val="true"/>
        </w:rPr>
        <w:t xml:space="preserve">, </w:t>
      </w:r>
      <w:r>
        <w:rPr>
          <w:rtl w:val="true"/>
        </w:rPr>
        <w:t>גנבו את הפגזים ופירקו אותם</w:t>
      </w:r>
      <w:r>
        <w:rPr>
          <w:rtl w:val="true"/>
        </w:rPr>
        <w:t xml:space="preserve">. </w:t>
      </w:r>
      <w:r>
        <w:rPr>
          <w:rtl w:val="true"/>
        </w:rPr>
        <w:t xml:space="preserve">היא ציינה כי על שני המעורבים האחרים נגזרו עונשים של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 מאסר 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מאסר 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חילוט כלי רכב וכסף מזומן</w:t>
      </w:r>
      <w:r>
        <w:rPr>
          <w:rtl w:val="true"/>
        </w:rPr>
        <w:t xml:space="preserve">, </w:t>
      </w:r>
      <w:r>
        <w:rPr>
          <w:rtl w:val="true"/>
        </w:rPr>
        <w:t xml:space="preserve">וקנסות בסך של </w:t>
      </w:r>
      <w:r>
        <w:rPr/>
        <w:t>60,000</w:t>
      </w:r>
      <w:r>
        <w:rPr>
          <w:rtl w:val="true"/>
        </w:rPr>
        <w:t xml:space="preserve"> ₪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30,000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באשר לרכבו של הנאשם</w:t>
      </w:r>
      <w:r>
        <w:rPr>
          <w:rtl w:val="true"/>
        </w:rPr>
        <w:t xml:space="preserve">, </w:t>
      </w:r>
      <w:r>
        <w:rPr>
          <w:rtl w:val="true"/>
        </w:rPr>
        <w:t>נטען כי בהזדמנות מסוימת הנאשם השתמש בו להעברת מוטות המתכת שקיבל מאחיו עאיש</w:t>
      </w:r>
      <w:r>
        <w:rPr>
          <w:rtl w:val="true"/>
        </w:rPr>
        <w:t xml:space="preserve">, </w:t>
      </w:r>
      <w:r>
        <w:rPr>
          <w:rtl w:val="true"/>
        </w:rPr>
        <w:t xml:space="preserve">לאדם שקנה אותם – כמתואר בסעיף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לעובדות כתב 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הצטרף לדברי ב</w:t>
      </w:r>
      <w:r>
        <w:rPr>
          <w:rtl w:val="true"/>
        </w:rPr>
        <w:t>"</w:t>
      </w:r>
      <w:r>
        <w:rPr>
          <w:rtl w:val="true"/>
        </w:rPr>
        <w:t>כ התביעה וביקש לאשר את עונש המאסר שהומלץ בהסדר הטיעון</w:t>
      </w:r>
      <w:r>
        <w:rPr>
          <w:rtl w:val="true"/>
        </w:rPr>
        <w:t xml:space="preserve">. </w:t>
      </w:r>
      <w:r>
        <w:rPr>
          <w:rtl w:val="true"/>
        </w:rPr>
        <w:t>הוא ציין שהנאשם נשוי ואב לשלושה ילדים ושאין לו עבר פלילי</w:t>
      </w:r>
      <w:r>
        <w:rPr>
          <w:rtl w:val="true"/>
        </w:rPr>
        <w:t xml:space="preserve">. </w:t>
      </w:r>
      <w:r>
        <w:rPr>
          <w:rtl w:val="true"/>
        </w:rPr>
        <w:t>וטען שהנאשם לקח אחריות על מעשיו ושבהודאתו חסך זמן שיפוט ניכר</w:t>
      </w:r>
      <w:r>
        <w:rPr>
          <w:rtl w:val="true"/>
        </w:rPr>
        <w:t xml:space="preserve">. </w:t>
      </w:r>
      <w:r>
        <w:rPr>
          <w:rtl w:val="true"/>
        </w:rPr>
        <w:t>באשר לחילוט הרכב ולקנס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 אין מקום לחלט את רכבו של הנאשם ושהקנס שיש להטיל על הנאשם צריך להיות נמוך מזה שהוטל על מעורב אחר בפרשה</w:t>
      </w:r>
      <w:r>
        <w:rPr>
          <w:rtl w:val="true"/>
        </w:rPr>
        <w:t xml:space="preserve">, </w:t>
      </w:r>
      <w:r>
        <w:rPr>
          <w:rtl w:val="true"/>
        </w:rPr>
        <w:t xml:space="preserve">שנקנס ב </w:t>
      </w:r>
      <w:r>
        <w:rPr/>
        <w:t>30,000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לאחר ששקלתי בדבר החלטתי לאמץ את הסדר הטיעון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start"/>
        <w:rPr>
          <w:b/>
        </w:rPr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הודאת הנאשם ניתנה במסגרת הסדר טיעון שכלל הסכמה על המלצה משותפת בדבר העונש שיוטל עליו</w:t>
      </w:r>
      <w:r>
        <w:rPr>
          <w:rtl w:val="true"/>
        </w:rPr>
        <w:t>.</w:t>
      </w:r>
      <w:r>
        <w:rPr>
          <w:b/>
          <w:rtl w:val="true"/>
        </w:rPr>
        <w:t xml:space="preserve"> </w:t>
      </w:r>
    </w:p>
    <w:p>
      <w:pPr>
        <w:pStyle w:val="Normal"/>
        <w:spacing w:lineRule="auto" w:line="360"/>
        <w:ind w:start="1440" w:end="0"/>
        <w:jc w:val="start"/>
        <w:rPr>
          <w:rFonts w:ascii="FrankRuehl" w:hAnsi="FrankRuehl" w:cs="FrankRuehl"/>
          <w:color w:val="000000"/>
        </w:rPr>
      </w:pPr>
      <w:r>
        <w:rPr>
          <w:b/>
          <w:rtl w:val="true"/>
        </w:rPr>
        <w:t>"</w:t>
      </w:r>
      <w:r>
        <w:rPr>
          <w:b/>
          <w:b/>
          <w:rtl w:val="true"/>
        </w:rPr>
        <w:t xml:space="preserve">הסדר טיעון </w:t>
      </w:r>
      <w:r>
        <w:rPr>
          <w:rtl w:val="true"/>
        </w:rPr>
        <w:t>– באשר הוא – אינו רק שיקול אחד ככל יתר השיקולים העומדים בפני בית</w:t>
      </w:r>
      <w:r>
        <w:rPr>
          <w:vertAlign w:val="superscript"/>
          <w:rtl w:val="true"/>
        </w:rPr>
        <w:t>-</w:t>
      </w:r>
      <w:r>
        <w:rPr>
          <w:rtl w:val="true"/>
        </w:rPr>
        <w:t>המשפט הגוזר את העונש</w:t>
      </w:r>
      <w:r>
        <w:rPr>
          <w:rtl w:val="true"/>
        </w:rPr>
        <w:t xml:space="preserve">. </w:t>
      </w:r>
      <w:r>
        <w:rPr>
          <w:rtl w:val="true"/>
        </w:rPr>
        <w:t>הסדר טיעון</w:t>
      </w:r>
      <w:r>
        <w:rPr>
          <w:rtl w:val="true"/>
        </w:rPr>
        <w:t xml:space="preserve">, </w:t>
      </w:r>
      <w:r>
        <w:rPr>
          <w:rtl w:val="true"/>
        </w:rPr>
        <w:t>כשהוא לעצמו</w:t>
      </w:r>
      <w:r>
        <w:rPr>
          <w:rtl w:val="true"/>
        </w:rPr>
        <w:t xml:space="preserve">, </w:t>
      </w:r>
      <w:r>
        <w:rPr>
          <w:rtl w:val="true"/>
        </w:rPr>
        <w:t>הוא שיקול מרכזי בגזירת הדין הן מטעמים של אינטרס הציבור הן כדי למלא אחר ציפיות הנאשם המוותר בהודאתו על זכותו לניהול ההליך הפלילי עד תומו</w:t>
      </w:r>
      <w:r>
        <w:rPr>
          <w:rtl w:val="true"/>
        </w:rPr>
        <w:t xml:space="preserve">. </w:t>
      </w:r>
      <w:r>
        <w:rPr>
          <w:rtl w:val="true"/>
        </w:rPr>
        <w:t>האינטרס הציבורי במובנו הרחב מחייב את בתי</w:t>
      </w:r>
      <w:r>
        <w:rPr>
          <w:vertAlign w:val="superscript"/>
          <w:rtl w:val="true"/>
        </w:rPr>
        <w:t>-</w:t>
      </w:r>
      <w:r>
        <w:rPr>
          <w:rtl w:val="true"/>
        </w:rPr>
        <w:t>המשפט לעודד קיומם של הסדרי טיעון</w:t>
      </w:r>
      <w:r>
        <w:rPr>
          <w:rtl w:val="true"/>
        </w:rPr>
        <w:t xml:space="preserve">. </w:t>
      </w:r>
      <w:r>
        <w:rPr>
          <w:rtl w:val="true"/>
        </w:rPr>
        <w:t>קיום הסדרי טיעון מאפשר פריסה רחבה יותר של אכיפת החוק</w:t>
      </w:r>
      <w:r>
        <w:rPr>
          <w:rtl w:val="true"/>
        </w:rPr>
        <w:t xml:space="preserve">, </w:t>
      </w:r>
      <w:r>
        <w:rPr>
          <w:rtl w:val="true"/>
        </w:rPr>
        <w:t>ובכך יש כוח מרתיע כשלעצמו</w:t>
      </w:r>
      <w:r>
        <w:rPr>
          <w:rtl w:val="true"/>
        </w:rPr>
        <w:t xml:space="preserve">, </w:t>
      </w:r>
      <w:r>
        <w:rPr>
          <w:rtl w:val="true"/>
        </w:rPr>
        <w:t>העשוי לאזן את אפקט ההקלה בעונש במקרה הקונקרטי</w:t>
      </w:r>
      <w:r>
        <w:rPr>
          <w:rtl w:val="true"/>
        </w:rPr>
        <w:t>. ...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vertAlign w:val="superscript"/>
          <w:rtl w:val="true"/>
        </w:rPr>
        <w:t>-</w:t>
      </w:r>
      <w:r>
        <w:rPr>
          <w:rtl w:val="true"/>
        </w:rPr>
        <w:t>המשפט יראה לקיים את הסדר הטיעון בשל הטעמים הקשורים בחשיבותם ובמעמדם של הסדרי הטיעון</w:t>
      </w:r>
      <w:r>
        <w:rPr>
          <w:rtl w:val="true"/>
        </w:rPr>
        <w:t xml:space="preserve">." - </w:t>
      </w:r>
      <w:r>
        <w:rPr>
          <w:rFonts w:ascii="FrankRuehl" w:hAnsi="FrankRuehl" w:cs="FrankRuehl"/>
          <w:color w:val="000000"/>
          <w:rtl w:val="true"/>
        </w:rPr>
        <w:t>ע</w:t>
      </w:r>
      <w:r>
        <w:rPr>
          <w:rFonts w:cs="FrankRuehl" w:ascii="FrankRuehl" w:hAnsi="FrankRuehl"/>
          <w:color w:val="000000"/>
          <w:rtl w:val="true"/>
        </w:rPr>
        <w:t>"</w:t>
      </w:r>
      <w:r>
        <w:rPr>
          <w:rFonts w:ascii="FrankRuehl" w:hAnsi="FrankRuehl" w:cs="FrankRuehl"/>
          <w:color w:val="000000"/>
          <w:rtl w:val="true"/>
        </w:rPr>
        <w:t>פ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cs="FrankRuehl" w:ascii="FrankRuehl" w:hAnsi="FrankRuehl"/>
          <w:color w:val="000000"/>
        </w:rPr>
        <w:t>1958/98</w:t>
      </w:r>
      <w:r>
        <w:rPr>
          <w:rFonts w:cs="David"/>
          <w:color w:val="000000"/>
          <w:rtl w:val="true"/>
        </w:rPr>
        <w:t>‏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פלוני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פ</w:t>
      </w:r>
      <w:r>
        <w:rPr>
          <w:rFonts w:cs="FrankRuehl" w:ascii="FrankRuehl" w:hAnsi="FrankRuehl"/>
          <w:color w:val="000000"/>
          <w:rtl w:val="true"/>
        </w:rPr>
        <w:t>''</w:t>
      </w:r>
      <w:r>
        <w:rPr>
          <w:rFonts w:ascii="FrankRuehl" w:hAnsi="FrankRuehl" w:cs="FrankRuehl"/>
          <w:color w:val="000000"/>
          <w:rtl w:val="true"/>
        </w:rPr>
        <w:t>ד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נז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cs="FrankRuehl" w:ascii="FrankRuehl" w:hAnsi="FrankRuehl"/>
          <w:color w:val="000000"/>
        </w:rPr>
        <w:t>1</w:t>
      </w:r>
      <w:r>
        <w:rPr>
          <w:rFonts w:cs="FrankRuehl" w:ascii="FrankRuehl" w:hAnsi="FrankRuehl"/>
          <w:color w:val="000000"/>
          <w:rtl w:val="true"/>
        </w:rPr>
        <w:t xml:space="preserve">) </w:t>
      </w:r>
      <w:r>
        <w:rPr>
          <w:rFonts w:cs="FrankRuehl" w:ascii="FrankRuehl" w:hAnsi="FrankRuehl"/>
          <w:color w:val="000000"/>
        </w:rPr>
        <w:t>577</w:t>
      </w:r>
      <w:r>
        <w:rPr>
          <w:rFonts w:cs="FrankRuehl" w:ascii="FrankRuehl" w:hAnsi="FrankRuehl"/>
          <w:color w:val="000000"/>
          <w:rtl w:val="true"/>
        </w:rPr>
        <w:t xml:space="preserve"> .</w:t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Fonts w:ascii="FrankRuehl" w:hAnsi="FrankRuehl" w:cs="FrankRuehl"/>
          <w:color w:val="000000"/>
          <w:rtl w:val="true"/>
        </w:rPr>
        <w:t>ב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tl w:val="true"/>
        </w:rPr>
        <w:t>כתב האישום המקורי שהוגש נגד הנאשם תוקן משמעותית</w:t>
      </w:r>
      <w:r>
        <w:rPr>
          <w:rtl w:val="true"/>
        </w:rPr>
        <w:t xml:space="preserve">, </w:t>
      </w:r>
      <w:r>
        <w:rPr>
          <w:rtl w:val="true"/>
        </w:rPr>
        <w:t>מבחינת עובדותיו ומבחינת העבירות שנכללו בו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 לא היה קשור ליוזמה העבריינית המקורית והוא לא השתתף בפריצה לבסיס הצבאי</w:t>
      </w:r>
      <w:r>
        <w:rPr>
          <w:rtl w:val="true"/>
        </w:rPr>
        <w:t xml:space="preserve">, </w:t>
      </w:r>
      <w:r>
        <w:rPr>
          <w:rtl w:val="true"/>
        </w:rPr>
        <w:t>בגניבת הפגזים ובפירוקם</w:t>
      </w:r>
      <w:r>
        <w:rPr>
          <w:rtl w:val="true"/>
        </w:rPr>
        <w:t xml:space="preserve">. </w:t>
      </w:r>
      <w:r>
        <w:rPr>
          <w:rtl w:val="true"/>
        </w:rPr>
        <w:t>וחלקו בפרשה קטן משמעותית מזה של המעורבים האחרים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 צעיר</w:t>
      </w:r>
      <w:r>
        <w:rPr>
          <w:rtl w:val="true"/>
        </w:rPr>
        <w:t xml:space="preserve">, </w:t>
      </w:r>
      <w:r>
        <w:rPr>
          <w:rtl w:val="true"/>
        </w:rPr>
        <w:t>ללא עבר פלילי וזהו מאסרו הראשון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הנאשם הודה במיוחס לו</w:t>
      </w:r>
      <w:r>
        <w:rPr>
          <w:rtl w:val="true"/>
        </w:rPr>
        <w:t xml:space="preserve">, </w:t>
      </w:r>
      <w:r>
        <w:rPr>
          <w:rtl w:val="true"/>
        </w:rPr>
        <w:t>וחסך זמן שיפוט</w:t>
      </w:r>
      <w:r>
        <w:rPr>
          <w:rtl w:val="true"/>
        </w:rPr>
        <w:t xml:space="preserve">. </w:t>
      </w:r>
      <w:r>
        <w:rPr>
          <w:rtl w:val="true"/>
        </w:rPr>
        <w:t xml:space="preserve">רשימת עדי התביעה כוללת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start"/>
        <w:rPr>
          <w:rFonts w:ascii="FrankRuehl" w:hAnsi="FrankRuehl" w:cs="FrankRuehl"/>
          <w:color w:val="000000"/>
        </w:rPr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</w:rPr>
        <w:t>הנאשם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שוהה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במעצר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שתנאיו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קשים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משל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מאסר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מזה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למעלה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משנה</w:t>
      </w:r>
      <w:r>
        <w:rPr>
          <w:rFonts w:cs="FrankRuehl" w:ascii="FrankRuehl" w:hAnsi="FrankRuehl"/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start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ז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</w:rPr>
        <w:t>העונש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המוצע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כולל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מאסר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בפועל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לתקופה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משמעותית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והוא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סביר</w:t>
      </w:r>
      <w:r>
        <w:rPr>
          <w:rFonts w:cs="FrankRuehl" w:ascii="FrankRuehl" w:hAnsi="FrankRuehl"/>
          <w:color w:val="000000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</w:rPr>
        <w:t>7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</w:rPr>
        <w:t>בהתחשב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בכל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האמור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אני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דן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את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הנאשם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לעונשים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הבאים</w:t>
      </w:r>
      <w:r>
        <w:rPr>
          <w:rFonts w:cs="FrankRuehl" w:ascii="FrankRuehl" w:hAnsi="FrankRuehl"/>
          <w:color w:val="000000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start="1440" w:end="0"/>
        <w:jc w:val="start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א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cs="FrankRuehl" w:ascii="FrankRuehl" w:hAnsi="FrankRuehl"/>
          <w:color w:val="000000"/>
        </w:rPr>
        <w:t>28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חודשי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מאסר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בפועל</w:t>
      </w:r>
      <w:r>
        <w:rPr>
          <w:rFonts w:cs="FrankRuehl" w:ascii="FrankRuehl" w:hAnsi="FrankRuehl"/>
          <w:color w:val="000000"/>
          <w:rtl w:val="true"/>
        </w:rPr>
        <w:t xml:space="preserve">. </w:t>
      </w:r>
      <w:r>
        <w:rPr>
          <w:rFonts w:ascii="FrankRuehl" w:hAnsi="FrankRuehl" w:cs="FrankRuehl"/>
          <w:color w:val="000000"/>
          <w:rtl w:val="true"/>
        </w:rPr>
        <w:t>מניינם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מיום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מעצרו</w:t>
      </w:r>
      <w:r>
        <w:rPr>
          <w:rFonts w:cs="FrankRuehl" w:ascii="FrankRuehl" w:hAnsi="FrankRuehl"/>
          <w:color w:val="000000"/>
          <w:rtl w:val="true"/>
        </w:rPr>
        <w:t xml:space="preserve">- </w:t>
      </w:r>
      <w:r>
        <w:rPr>
          <w:rFonts w:cs="FrankRuehl" w:ascii="FrankRuehl" w:hAnsi="FrankRuehl"/>
          <w:color w:val="000000"/>
        </w:rPr>
        <w:t>07.02.12</w:t>
      </w:r>
      <w:r>
        <w:rPr>
          <w:rFonts w:cs="FrankRuehl" w:ascii="FrankRuehl" w:hAnsi="FrankRuehl"/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start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ב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</w:rPr>
        <w:t>שנת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מאסר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תנאי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למשך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שנתיים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מיום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שחרורו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מהמאסר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שלא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יעבור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עבירה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שהיא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פשע</w:t>
      </w:r>
      <w:r>
        <w:rPr>
          <w:rFonts w:cs="FrankRuehl" w:ascii="FrankRuehl" w:hAnsi="FrankRuehl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0"/>
        <w:jc w:val="start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ג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</w:rPr>
        <w:t>קנס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בסך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cs="FrankRuehl" w:ascii="FrankRuehl" w:hAnsi="FrankRuehl"/>
          <w:color w:val="000000"/>
        </w:rPr>
        <w:t>15.000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₪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או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חודשיים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מאסר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תחתיו</w:t>
      </w:r>
      <w:r>
        <w:rPr>
          <w:rFonts w:cs="FrankRuehl" w:ascii="FrankRuehl" w:hAnsi="FrankRuehl"/>
          <w:color w:val="000000"/>
          <w:rtl w:val="true"/>
        </w:rPr>
        <w:t xml:space="preserve">. </w:t>
      </w:r>
      <w:r>
        <w:rPr>
          <w:rFonts w:ascii="FrankRuehl" w:hAnsi="FrankRuehl" w:cs="FrankRuehl"/>
          <w:color w:val="000000"/>
          <w:rtl w:val="true"/>
        </w:rPr>
        <w:t>הקנס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ישולם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בשלושה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תשלומים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חודשיים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שווים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ורצופים</w:t>
      </w:r>
      <w:r>
        <w:rPr>
          <w:rFonts w:cs="FrankRuehl" w:ascii="FrankRuehl" w:hAnsi="FrankRuehl"/>
          <w:color w:val="000000"/>
          <w:rtl w:val="true"/>
        </w:rPr>
        <w:t xml:space="preserve">. </w:t>
      </w:r>
      <w:r>
        <w:rPr>
          <w:rFonts w:ascii="FrankRuehl" w:hAnsi="FrankRuehl" w:cs="FrankRuehl"/>
          <w:color w:val="000000"/>
          <w:rtl w:val="true"/>
        </w:rPr>
        <w:t>הראשון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בהם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ביום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cs="FrankRuehl" w:ascii="FrankRuehl" w:hAnsi="FrankRuehl"/>
          <w:color w:val="000000"/>
        </w:rPr>
        <w:t>1.3.13</w:t>
      </w:r>
      <w:r>
        <w:rPr>
          <w:rFonts w:cs="FrankRuehl" w:ascii="FrankRuehl" w:hAnsi="FrankRuehl"/>
          <w:color w:val="000000"/>
          <w:rtl w:val="true"/>
        </w:rPr>
        <w:t xml:space="preserve">. </w:t>
      </w:r>
      <w:r>
        <w:rPr>
          <w:rFonts w:ascii="FrankRuehl" w:hAnsi="FrankRuehl" w:cs="FrankRuehl"/>
          <w:color w:val="000000"/>
          <w:rtl w:val="true"/>
        </w:rPr>
        <w:t>תשלום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שלא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ישולם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במועדו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יעמיד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את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יתרת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הקנס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לפרעון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מיידי</w:t>
      </w:r>
      <w:r>
        <w:rPr>
          <w:rFonts w:cs="FrankRuehl" w:ascii="FrankRuehl" w:hAnsi="FrankRuehl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</w:rPr>
        <w:t>8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tl w:val="true"/>
        </w:rPr>
        <w:t>בהתחשב באופי השימוש שעשה הנאשם ברכבו בקשר לעבירות שביצע</w:t>
      </w:r>
      <w:r>
        <w:rPr>
          <w:rtl w:val="true"/>
        </w:rPr>
        <w:t xml:space="preserve">, </w:t>
      </w:r>
      <w:r>
        <w:rPr>
          <w:rtl w:val="true"/>
        </w:rPr>
        <w:t>בחד פעמיות שלו</w:t>
      </w:r>
      <w:r>
        <w:rPr>
          <w:rtl w:val="true"/>
        </w:rPr>
        <w:t xml:space="preserve">, </w:t>
      </w:r>
      <w:r>
        <w:rPr>
          <w:rtl w:val="true"/>
        </w:rPr>
        <w:t>ובעונשים שהושתו עליו</w:t>
      </w:r>
      <w:r>
        <w:rPr>
          <w:rtl w:val="true"/>
        </w:rPr>
        <w:t xml:space="preserve">, </w:t>
      </w:r>
      <w:r>
        <w:rPr>
          <w:rtl w:val="true"/>
        </w:rPr>
        <w:t>כשלעצמם ובהשוואה לעונשים שהושתו על המעורבים האחרים בפרשה</w:t>
      </w:r>
      <w:r>
        <w:rPr>
          <w:rtl w:val="true"/>
        </w:rPr>
        <w:t xml:space="preserve">, </w:t>
      </w:r>
      <w:r>
        <w:rPr>
          <w:rtl w:val="true"/>
        </w:rPr>
        <w:t>אינני סבור שיהיה זה מוצדק לחלט את רכבו של הנאשם</w:t>
      </w:r>
      <w:r>
        <w:rPr>
          <w:rFonts w:cs="FrankRuehl" w:ascii="FrankRuehl" w:hAnsi="FrankRuehl"/>
          <w:color w:val="000000"/>
          <w:rtl w:val="true"/>
        </w:rPr>
        <w:t>.</w:t>
      </w:r>
    </w:p>
    <w:p>
      <w:pPr>
        <w:pStyle w:val="Normal"/>
        <w:spacing w:lineRule="auto" w:line="360"/>
        <w:ind w:start="1440"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זכות 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end"/>
        <w:rPr/>
      </w:pPr>
      <w:r>
        <w:rPr>
          <w:b/>
          <w:b/>
          <w:bCs/>
          <w:rtl w:val="true"/>
        </w:rPr>
        <w:t>ניתנה והודעה היום ט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19/02/2013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אליהו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ביתן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56282-02-12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סווילם זנון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2013-02-24T13:08:00Z</dcterms:created>
  <dc:creator> </dc:creator>
  <dc:description/>
  <cp:keywords/>
  <dc:language>en-IL</dc:language>
  <cp:lastModifiedBy>hofit</cp:lastModifiedBy>
  <dcterms:modified xsi:type="dcterms:W3CDTF">2013-02-24T13:08:00Z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סווילם זנון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ב"ש</vt:lpwstr>
  </property>
  <property fmtid="{D5CDD505-2E9C-101B-9397-08002B2CF9AE}" pid="9" name="DATE">
    <vt:lpwstr>20130219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אליהו ביתן</vt:lpwstr>
  </property>
  <property fmtid="{D5CDD505-2E9C-101B-9397-08002B2CF9AE}" pid="13" name="LAWYER">
    <vt:lpwstr>איילת קדוש;תורג'מן שמעון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56282</vt:lpwstr>
  </property>
  <property fmtid="{D5CDD505-2E9C-101B-9397-08002B2CF9AE}" pid="20" name="NEWPARTB">
    <vt:lpwstr>02</vt:lpwstr>
  </property>
  <property fmtid="{D5CDD505-2E9C-101B-9397-08002B2CF9AE}" pid="21" name="NEWPARTC">
    <vt:lpwstr>12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TYPE_ABS_DATE">
    <vt:lpwstr>390020130219</vt:lpwstr>
  </property>
  <property fmtid="{D5CDD505-2E9C-101B-9397-08002B2CF9AE}" pid="32" name="TYPE_N_DATE">
    <vt:lpwstr>39020130219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