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בקריית גת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בשבתו בבימ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ש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אשקלון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56479-12-15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גלמן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נועה חקלאי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סטניסלב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גלמן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175" w:leader="none"/>
        </w:tabs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5" w:name="ABSTRACT_START"/>
      <w:bookmarkEnd w:id="5"/>
      <w:r>
        <w:rPr>
          <w:rFonts w:ascii="Calibri" w:hAnsi="Calibri" w:cs="Calibri"/>
          <w:rtl w:val="true"/>
        </w:rPr>
        <w:t xml:space="preserve">הנאשם הורשע על פי הודאתו בכתב אישום מתוקן המייחס לו עבירה של החזקת סמים לצריכה עצמית בניגוד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 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נוסח חדש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ועבירה של החזקת חלק של נשק או תחמושת בניגוד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 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פי 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24.6.15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 הנאשם בדירתו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בארון שבחדרו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אבזר או תחמושת שלא כדין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שני רימוני עשן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חזיז חשמלי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מחסניות רובה מסוג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 מועד החזיק בשידה שליד הטלוויזיה בחדרו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בסם מסוכן מסוג חשיש במשקל של </w:t>
      </w:r>
      <w:r>
        <w:rPr>
          <w:rFonts w:cs="Calibri" w:ascii="Calibri" w:hAnsi="Calibri"/>
        </w:rPr>
        <w:t>0.13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לצריכתו העצמית וזאת ללא רישיון או היתר מאת המנהל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6.2.17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הציגו הצדדים הסדר טיעון לפיו יודה בכתב אישום מתוקן ויורשע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ישלח לשירות המבחן לקבלת תסקיר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עמדת המאשימה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אשר ירוצו בעבודות שירות במידה והנאשם ימצא מתאים 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 שלא ימצא 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תעתור המאשימה למאסר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וענישה 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color w:val="FF0000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תסקיר שירות המבחן וחוות דעת הממונה על עבודות השירות  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בתסקיר מיום </w:t>
      </w:r>
      <w:r>
        <w:rPr>
          <w:rFonts w:cs="Calibri" w:ascii="Calibri" w:hAnsi="Calibri"/>
        </w:rPr>
        <w:t>19.7.17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 שירות המבחן את הרקע האישי והמשפחתי של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בן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 בבית אמו ועובד כשכיר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איבד את אביו בתאונת דרכים כשהיה בן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משפחתו עלתה מרוסיה כשהיה בן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המצב הכלכלי בביתו 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 הרשעות בעבירות 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 וסמים ונידון בין היתר לצו 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מותנה ומחבוש בכלא הצבאי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מסר כי אינו משתמש בסמים מזה כשנתיים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תוצאות הבדיקה לאיתור שרידי סם נמצאו נקיות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 לחלקי הנשק שנמצאו בביתו מסר הנאשם כי הם נלקחו על ידו בהיותו חייל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בחוסר שיקול דעת ומבלי שהיה מודע לחומרת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התרשם כי הנאשם הורתע מההליך 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שומר על  יציבות תעסוקתית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העריך כי הנאשם נמנע משימוש בסמים בשל ההליך המשפטי אשר מצוי בו אך קיים סיכון לחזרה לשימוש 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אף שהנאשם לא הביע נזקקות טיפולית בתחום הסמים המליץ שירות המבחן על העמדתו במבחן וכל על הטלת ענישה בעלת אפקט חינוכי של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הגישה גיליון הרשעות 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לדבריה מתחם העונש ההולם נע בין מאסר מותנה 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 לענישה ברף הבינוני במתחם וזאת בשל הרשעותיו הקודמות ביחס לגילו הצעיר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ציינה כי למעט הרשעתו האחרונה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הרשעותיו התיישנו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 להגנה מן הצדק שכן העבירה נשוא הרשעתו האחרונה נעברה באותו 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והאירוע פוצל ללא כל הצדקה לשני כתבי אישום נפרדים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עוד טענה כי החיפוש בוצע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בפני שני עדים ניטרליים כנדרש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עסקינן בתחמושת ישנה מתקופת הצבא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 אסף בזמן השירות ופחד להחזיר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 מדובר ברשלנות ולא מעבר 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הגישה פסיקה התומכת בטיעוניה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וביקשה לאמץ את המלצת שירות 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 ביקש לומר דברים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 הוא אדם 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 ובעל משכורת טובה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 שגרת חיים תקינה ואינו מהווה סכנה לציבור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ביקש להתחשב ולאפשר לו להמשיך ולעבוד כיוון שמפחד לאבד את מקום עבודתו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/>
          <w:bCs/>
          <w:sz w:val="40"/>
          <w:sz w:val="40"/>
          <w:szCs w:val="40"/>
          <w:u w:val="single"/>
          <w:rtl w:val="true"/>
        </w:rPr>
        <w:t>דיון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254" w:before="0" w:after="160"/>
        <w:ind w:start="360" w:end="0"/>
        <w:contextualSpacing/>
        <w:jc w:val="both"/>
        <w:rPr>
          <w:rFonts w:ascii="Calibri" w:hAnsi="Calibri" w:cs="Calibri"/>
          <w:b/>
          <w:bCs/>
          <w:highlight w:val="yellow"/>
          <w:u w:val="single"/>
        </w:rPr>
      </w:pPr>
      <w:r>
        <w:rPr>
          <w:rFonts w:cs="Calibri" w:ascii="Calibri" w:hAnsi="Calibri"/>
          <w:b/>
          <w:bCs/>
          <w:highlight w:val="yellow"/>
          <w:u w:val="single"/>
          <w:rtl w:val="true"/>
        </w:rPr>
      </w:r>
    </w:p>
    <w:p>
      <w:pPr>
        <w:pStyle w:val="Normal"/>
        <w:spacing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b/>
          <w:b/>
          <w:bCs/>
          <w:color w:val="000000"/>
          <w:rtl w:val="true"/>
        </w:rPr>
        <w:t>הערכים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המוגנים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שנפגעו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וביטחונו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הישירים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והעקיפים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נגרמים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עקב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הפיזי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והנפשי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rFonts w:ascii="David" w:hAnsi="David" w:cs="David"/>
          <w:color w:val="000000"/>
          <w:highlight w:val="yellow"/>
          <w:lang w:eastAsia="he-IL"/>
        </w:rPr>
      </w:pPr>
      <w:r>
        <w:rPr>
          <w:rFonts w:cs="David" w:ascii="David" w:hAnsi="David"/>
          <w:color w:val="000000"/>
          <w:highlight w:val="yellow"/>
          <w:rtl w:val="true"/>
          <w:lang w:eastAsia="he-IL"/>
        </w:rPr>
      </w:r>
    </w:p>
    <w:p>
      <w:pPr>
        <w:pStyle w:val="Normal"/>
        <w:spacing w:before="0" w:after="160"/>
        <w:ind w:hanging="720" w:start="720" w:end="0"/>
        <w:jc w:val="both"/>
        <w:rPr>
          <w:rFonts w:ascii="Calibri" w:hAnsi="Calibri" w:cs="Calibri"/>
        </w:rPr>
      </w:pPr>
      <w:r>
        <w:rPr>
          <w:lang w:eastAsia="he-IL"/>
        </w:rPr>
        <w:t>9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בערכים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הנמוך</w:t>
      </w:r>
      <w:r>
        <w:rPr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בשים לב לסוג התחמושת ולכך שהוחזקה בארון בחדרו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ובשים לב </w:t>
      </w:r>
      <w:r>
        <w:rPr>
          <w:rFonts w:cs="Times New Roman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b/>
          <w:b/>
          <w:sz w:val="22"/>
          <w:sz w:val="22"/>
          <w:rtl w:val="true"/>
          <w:lang w:eastAsia="he-IL"/>
        </w:rPr>
        <w:t>לסוג</w:t>
      </w:r>
      <w:r>
        <w:rPr>
          <w:rFonts w:cs="Times New Roman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b/>
          <w:b/>
          <w:sz w:val="22"/>
          <w:sz w:val="22"/>
          <w:rtl w:val="true"/>
          <w:lang w:eastAsia="he-IL"/>
        </w:rPr>
        <w:t>הסם</w:t>
      </w:r>
      <w:r>
        <w:rPr>
          <w:rFonts w:cs="Times New Roman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b/>
          <w:sz w:val="22"/>
          <w:rtl w:val="true"/>
          <w:lang w:eastAsia="he-IL"/>
        </w:rPr>
        <w:t>(</w:t>
      </w:r>
      <w:r>
        <w:rPr>
          <w:b/>
          <w:b/>
          <w:sz w:val="22"/>
          <w:sz w:val="22"/>
          <w:rtl w:val="true"/>
          <w:lang w:eastAsia="he-IL"/>
        </w:rPr>
        <w:t>חשיש</w:t>
      </w:r>
      <w:r>
        <w:rPr>
          <w:b/>
          <w:sz w:val="22"/>
          <w:rtl w:val="true"/>
          <w:lang w:eastAsia="he-IL"/>
        </w:rPr>
        <w:t xml:space="preserve">) </w:t>
      </w:r>
      <w:r>
        <w:rPr>
          <w:b/>
          <w:b/>
          <w:sz w:val="22"/>
          <w:sz w:val="22"/>
          <w:rtl w:val="true"/>
          <w:lang w:eastAsia="he-IL"/>
        </w:rPr>
        <w:t>לכמותו</w:t>
      </w:r>
      <w:r>
        <w:rPr>
          <w:rFonts w:cs="Times New Roman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b/>
          <w:sz w:val="22"/>
          <w:rtl w:val="true"/>
          <w:lang w:eastAsia="he-IL"/>
        </w:rPr>
        <w:t>(</w:t>
      </w:r>
      <w:r>
        <w:rPr>
          <w:b/>
          <w:sz w:val="22"/>
          <w:lang w:eastAsia="he-IL"/>
        </w:rPr>
        <w:t>0.13</w:t>
      </w:r>
      <w:r>
        <w:rPr>
          <w:b/>
          <w:sz w:val="22"/>
          <w:rtl w:val="true"/>
          <w:lang w:eastAsia="he-IL"/>
        </w:rPr>
        <w:t xml:space="preserve"> </w:t>
      </w:r>
      <w:r>
        <w:rPr>
          <w:b/>
          <w:b/>
          <w:sz w:val="22"/>
          <w:sz w:val="22"/>
          <w:rtl w:val="true"/>
          <w:lang w:eastAsia="he-IL"/>
        </w:rPr>
        <w:t>ג</w:t>
      </w:r>
      <w:r>
        <w:rPr>
          <w:b/>
          <w:sz w:val="22"/>
          <w:rtl w:val="true"/>
          <w:lang w:eastAsia="he-IL"/>
        </w:rPr>
        <w:t xml:space="preserve">') </w:t>
      </w:r>
      <w:r>
        <w:rPr>
          <w:b/>
          <w:b/>
          <w:sz w:val="22"/>
          <w:sz w:val="22"/>
          <w:rtl w:val="true"/>
          <w:lang w:eastAsia="he-IL"/>
        </w:rPr>
        <w:t>ולכך</w:t>
      </w:r>
      <w:r>
        <w:rPr>
          <w:rFonts w:cs="Times New Roman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b/>
          <w:b/>
          <w:sz w:val="22"/>
          <w:sz w:val="22"/>
          <w:rtl w:val="true"/>
          <w:lang w:eastAsia="he-IL"/>
        </w:rPr>
        <w:t>שנועד</w:t>
      </w:r>
      <w:r>
        <w:rPr>
          <w:rFonts w:cs="Times New Roman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b/>
          <w:b/>
          <w:sz w:val="22"/>
          <w:sz w:val="22"/>
          <w:rtl w:val="true"/>
          <w:lang w:eastAsia="he-IL"/>
        </w:rPr>
        <w:t>לצריכה</w:t>
      </w:r>
      <w:r>
        <w:rPr>
          <w:rFonts w:cs="Times New Roman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b/>
          <w:b/>
          <w:sz w:val="22"/>
          <w:sz w:val="22"/>
          <w:rtl w:val="true"/>
          <w:lang w:eastAsia="he-IL"/>
        </w:rPr>
        <w:t>עצמית</w:t>
      </w:r>
      <w:r>
        <w:rPr>
          <w:b/>
          <w:sz w:val="22"/>
          <w:rtl w:val="true"/>
          <w:lang w:eastAsia="he-IL"/>
        </w:rPr>
        <w:t>.</w:t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  <w:b/>
          <w:bCs/>
          <w:highlight w:val="yellow"/>
        </w:rPr>
      </w:pPr>
      <w:r>
        <w:rPr>
          <w:rFonts w:cs="Calibri" w:ascii="Calibri" w:hAnsi="Calibri"/>
          <w:b/>
          <w:bCs/>
          <w:highlight w:val="yellow"/>
          <w:rtl w:val="true"/>
        </w:rPr>
      </w:r>
    </w:p>
    <w:p>
      <w:pPr>
        <w:pStyle w:val="Normal"/>
        <w:snapToGrid w:val="false"/>
        <w:spacing w:before="120" w:after="0"/>
        <w:ind w:hanging="720" w:start="720" w:end="0"/>
        <w:jc w:val="both"/>
        <w:rPr>
          <w:lang w:eastAsia="he-IL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באשר לנסיבות הקשורות 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 דעתי לסוג התחמושת והאביזרים שהוחזקו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נתתי דעתי לכך שהוחזקו בארון בחדר השינה ולא נעשה בהם 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נתתי דעתי כי הנאשם אספם בעת שירותו הצבאי מבלי שתכנן לעשות בהם כל שימוש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eastAsia="he-IL"/>
        </w:rPr>
        <w:t>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ולכמותו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המזערית</w:t>
      </w:r>
      <w:r>
        <w:rPr>
          <w:rtl w:val="true"/>
          <w:lang w:eastAsia="he-IL"/>
        </w:rPr>
        <w:t>.</w:t>
      </w:r>
    </w:p>
    <w:p>
      <w:pPr>
        <w:pStyle w:val="Normal"/>
        <w:snapToGrid w:val="false"/>
        <w:spacing w:lineRule="exact" w:line="300" w:before="120" w:after="0"/>
        <w:ind w:hanging="360" w:start="360" w:end="0"/>
        <w:jc w:val="both"/>
        <w:rPr>
          <w:lang w:eastAsia="he-IL"/>
        </w:rPr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שלהלן</w:t>
      </w:r>
      <w:r>
        <w:rPr>
          <w:rtl w:val="true"/>
          <w:lang w:eastAsia="he-IL"/>
        </w:rPr>
        <w:t>:</w:t>
      </w:r>
    </w:p>
    <w:p>
      <w:pPr>
        <w:pStyle w:val="Normal"/>
        <w:spacing w:before="0" w:after="200"/>
        <w:ind w:start="1080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2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1462/12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כפיר שוקרון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</w:t>
      </w:r>
      <w:r>
        <w:rPr>
          <w:rFonts w:ascii="Calibri" w:hAnsi="Calibri" w:cs="Calibri"/>
          <w:sz w:val="22"/>
          <w:sz w:val="22"/>
          <w:rtl w:val="true"/>
        </w:rPr>
        <w:t xml:space="preserve">ל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נשיאת רימון הלם והחזקת סכין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cs="Calibri" w:ascii="Calibri" w:hAnsi="Calibri"/>
          <w:sz w:val="22"/>
        </w:rPr>
        <w:t>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 מאסר בעבודות שירות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4318-10-11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נגד רפאלוב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 xml:space="preserve">החזקת </w:t>
      </w:r>
      <w:r>
        <w:rPr>
          <w:rFonts w:cs="Calibri" w:ascii="Calibri" w:hAnsi="Calibri"/>
          <w:sz w:val="22"/>
        </w:rPr>
        <w:t>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לבנות חבלה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רימון יד ורימון עשן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 מאסר בעבודות שירות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4925-01-10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נגד כץ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חייל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עתודאי בשירות קבע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החזיק  רובה אויר – 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צ ללא הרשעה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ערעור לביהמ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ש המחוזי נדחה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5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5604/11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נאסר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 xml:space="preserve">החזקת אקדח ומחסנית לאקדח ובה 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</w:t>
      </w:r>
      <w:r>
        <w:rPr>
          <w:rFonts w:cs="Calibri" w:ascii="Calibri" w:hAnsi="Calibri"/>
          <w:sz w:val="22"/>
          <w:rtl w:val="true"/>
        </w:rPr>
        <w:t>) -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 מאסר בפועל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6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6583/06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אדהאם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מדינת ישראל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החזקת אקדח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eastAsia="David" w:ascii="David" w:hAnsi="David"/>
          <w:sz w:val="22"/>
          <w:rtl w:val="true"/>
        </w:rPr>
        <w:t>–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נקבע כי עבירה של החזקת נשק שלא כדין הינה חמורה בשל הסיכון הפוטנציאלי הגלום בה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והסיכון לחברה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נקבע כי עבירה זו מצדיקה השתת מאסר בפועל אף על מי שזו לו הרשעתו הראשונה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7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טבריה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26182-10-14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אבו חנין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החזקת דבק חבלה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מחסנית לנשק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364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7.62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714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5.56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50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מחסניות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כשבתוכן </w:t>
      </w:r>
      <w:r>
        <w:rPr>
          <w:rFonts w:cs="Calibri" w:ascii="Calibri" w:hAnsi="Calibri"/>
          <w:sz w:val="22"/>
        </w:rPr>
        <w:t>708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</w:t>
      </w:r>
      <w:r>
        <w:rPr>
          <w:rFonts w:cs="Calibri" w:ascii="Calibri" w:hAnsi="Calibri"/>
          <w:sz w:val="22"/>
          <w:rtl w:val="true"/>
        </w:rPr>
        <w:t xml:space="preserve">)- </w:t>
      </w:r>
      <w:r>
        <w:rPr>
          <w:rFonts w:ascii="Calibri" w:hAnsi="Calibri" w:cs="Calibri"/>
          <w:sz w:val="22"/>
          <w:sz w:val="22"/>
          <w:rtl w:val="true"/>
        </w:rPr>
        <w:t>מע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ת וקנס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8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61153-09-14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קארן מליאנץ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 xml:space="preserve">החזקת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אקדח </w:t>
      </w:r>
      <w:r>
        <w:rPr>
          <w:rFonts w:cs="Calibri" w:ascii="Calibri" w:hAnsi="Calibri"/>
          <w:sz w:val="22"/>
        </w:rPr>
        <w:t>9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נפצים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113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 בתפזורת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מחסניות של אקדח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המכילות כדורים 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214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צ ללא הרשעה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19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29725-10-13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רומן פומיאצוב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החזקת אקדח גז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ascii="Calibri" w:hAnsi="Calibri" w:cs="Calibri"/>
          <w:sz w:val="22"/>
          <w:sz w:val="22"/>
          <w:rtl w:val="true"/>
        </w:rPr>
        <w:t>זיקוקים</w:t>
      </w:r>
      <w:r>
        <w:rPr>
          <w:rFonts w:cs="Calibri" w:ascii="Calibri" w:hAnsi="Calibri"/>
          <w:sz w:val="22"/>
          <w:rtl w:val="true"/>
        </w:rPr>
        <w:t>/</w:t>
      </w:r>
      <w:r>
        <w:rPr>
          <w:rFonts w:ascii="Calibri" w:hAnsi="Calibri" w:cs="Calibri"/>
          <w:sz w:val="22"/>
          <w:sz w:val="22"/>
          <w:rtl w:val="true"/>
        </w:rPr>
        <w:t xml:space="preserve">הזנקה מסוג נפוליאון ביחד עם מחסנית תואמת המכילה </w:t>
      </w:r>
      <w:r>
        <w:rPr>
          <w:rFonts w:cs="Calibri" w:ascii="Calibri" w:hAnsi="Calibri"/>
          <w:sz w:val="22"/>
        </w:rPr>
        <w:t>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צ והתחייבות – ללא הרשעה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20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קג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15724-06-13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שלמה לבסיי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החזקת רימון הלם וסמים לצריכה עצמית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ascii="Calibri" w:hAnsi="Calibri" w:cs="Calibri"/>
          <w:sz w:val="22"/>
          <w:sz w:val="22"/>
          <w:rtl w:val="true"/>
        </w:rPr>
        <w:t>מע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Calibri" w:hAnsi="Calibri" w:cs="Calibri"/>
          <w:sz w:val="22"/>
        </w:rPr>
      </w:pPr>
      <w:hyperlink r:id="rId21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265-07-11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נפתלייב</w:t>
      </w:r>
      <w:r>
        <w:rPr>
          <w:rFonts w:cs="Calibri" w:ascii="Calibri" w:hAnsi="Calibri"/>
          <w:sz w:val="22"/>
          <w:rtl w:val="true"/>
        </w:rPr>
        <w:t>- (</w:t>
      </w:r>
      <w:r>
        <w:rPr>
          <w:rFonts w:ascii="Calibri" w:hAnsi="Calibri" w:cs="Calibri"/>
          <w:sz w:val="22"/>
          <w:sz w:val="22"/>
          <w:rtl w:val="true"/>
        </w:rPr>
        <w:t xml:space="preserve">החזקת </w:t>
      </w:r>
      <w:r>
        <w:rPr>
          <w:rFonts w:cs="Calibri" w:ascii="Calibri" w:hAnsi="Calibri"/>
          <w:sz w:val="22"/>
        </w:rPr>
        <w:t>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רימוני הלם בגן ציבורי</w:t>
      </w:r>
      <w:r>
        <w:rPr>
          <w:rFonts w:cs="Calibri" w:ascii="Calibri" w:hAnsi="Calibri"/>
          <w:sz w:val="22"/>
          <w:rtl w:val="true"/>
        </w:rPr>
        <w:t xml:space="preserve">) – </w:t>
      </w:r>
      <w:r>
        <w:rPr>
          <w:rFonts w:ascii="Calibri" w:hAnsi="Calibri" w:cs="Calibri"/>
          <w:sz w:val="22"/>
          <w:sz w:val="22"/>
          <w:rtl w:val="true"/>
        </w:rPr>
        <w:t>מע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ת מבחן 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400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שעות של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צ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ind w:start="720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276" w:before="0" w:after="200"/>
        <w:ind w:hanging="720" w:start="720" w:end="0"/>
        <w:jc w:val="both"/>
        <w:rPr>
          <w:rFonts w:cs="Arial"/>
          <w:sz w:val="22"/>
        </w:rPr>
      </w:pPr>
      <w:r>
        <w:rPr>
          <w:rFonts w:cs="Calibri" w:ascii="Calibri" w:hAnsi="Calibri"/>
          <w:sz w:val="22"/>
        </w:rPr>
        <w:t>12</w:t>
      </w:r>
      <w:r>
        <w:rPr>
          <w:rFonts w:cs="Arial" w:ascii="Calibri" w:hAnsi="Calibri"/>
          <w:sz w:val="22"/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before="0" w:after="12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 מצאתי הצדקה לחרוג לקולה או לחומרה ממתחם העונש 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עונשו של הנאשם</w:t>
      </w:r>
    </w:p>
    <w:p>
      <w:pPr>
        <w:pStyle w:val="Normal"/>
        <w:spacing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בבואי לגזור את עונשו של הנאשם בתוך מתחמי העונש ההולם לקחתי בחשבון את השיקולים 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זקפתי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1986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שהתיישנו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לנוער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חיפוש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מפתחות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שעסקינן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חיפוש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napToGrid w:val="false"/>
        <w:spacing w:lineRule="exact" w:line="300" w:before="0" w:after="280"/>
        <w:ind w:hanging="360" w:start="720" w:end="0"/>
        <w:jc w:val="both"/>
        <w:rPr>
          <w:color w:val="000000"/>
          <w:sz w:val="22"/>
        </w:rPr>
      </w:pPr>
      <w:r>
        <w:rPr>
          <w:color w:val="000000"/>
          <w:sz w:val="22"/>
          <w:sz w:val="22"/>
          <w:rtl w:val="true"/>
        </w:rPr>
        <w:t>לקחתי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בחשבון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ומאידך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sz w:val="22"/>
          <w:sz w:val="22"/>
          <w:rtl w:val="true"/>
        </w:rPr>
        <w:t>המלצתו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העונשית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שירות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המבחן</w:t>
      </w:r>
      <w:r>
        <w:rPr>
          <w:color w:val="000000"/>
          <w:sz w:val="22"/>
          <w:rtl w:val="true"/>
        </w:rPr>
        <w:t>.</w:t>
      </w:r>
    </w:p>
    <w:p>
      <w:pPr>
        <w:pStyle w:val="Normal"/>
        <w:snapToGrid w:val="false"/>
        <w:spacing w:lineRule="exact" w:line="300" w:before="280" w:after="280"/>
        <w:ind w:start="720" w:end="0"/>
        <w:contextualSpacing/>
        <w:jc w:val="both"/>
        <w:rPr>
          <w:color w:val="000000"/>
          <w:sz w:val="22"/>
        </w:rPr>
      </w:pPr>
      <w:r>
        <w:rPr>
          <w:color w:val="000000"/>
          <w:sz w:val="22"/>
          <w:rtl w:val="true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. </w:t>
      </w:r>
    </w:p>
    <w:p>
      <w:pPr>
        <w:pStyle w:val="Normal"/>
        <w:snapToGrid w:val="false"/>
        <w:spacing w:before="120" w:after="0"/>
        <w:ind w:start="360" w:end="0"/>
        <w:jc w:val="both"/>
        <w:rPr>
          <w:highlight w:val="yellow"/>
          <w:lang w:eastAsia="he-IL"/>
        </w:rPr>
      </w:pPr>
      <w:r>
        <w:rPr>
          <w:highlight w:val="yellow"/>
          <w:rtl w:val="true"/>
          <w:lang w:eastAsia="he-IL"/>
        </w:rPr>
      </w:r>
    </w:p>
    <w:p>
      <w:pPr>
        <w:pStyle w:val="Normal"/>
        <w:snapToGrid w:val="false"/>
        <w:spacing w:before="120" w:after="0"/>
        <w:ind w:hanging="360" w:start="360" w:end="0"/>
        <w:jc w:val="both"/>
        <w:rPr>
          <w:lang w:eastAsia="he-IL"/>
        </w:rPr>
      </w:pPr>
      <w:r>
        <w:rPr>
          <w:lang w:eastAsia="he-IL"/>
        </w:rPr>
        <w:t>15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ולהעדיף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חינוכי</w:t>
      </w:r>
      <w:r>
        <w:rPr>
          <w:rtl w:val="true"/>
          <w:lang w:eastAsia="he-IL"/>
        </w:rPr>
        <w:t>.</w:t>
      </w:r>
    </w:p>
    <w:p>
      <w:pPr>
        <w:pStyle w:val="Normal"/>
        <w:snapToGrid w:val="false"/>
        <w:spacing w:before="120" w:after="0"/>
        <w:ind w:end="0"/>
        <w:jc w:val="both"/>
        <w:rPr>
          <w:highlight w:val="yellow"/>
          <w:lang w:eastAsia="he-IL"/>
        </w:rPr>
      </w:pPr>
      <w:r>
        <w:rPr>
          <w:highlight w:val="yellow"/>
          <w:rtl w:val="true"/>
          <w:lang w:eastAsia="he-IL"/>
        </w:rPr>
      </w:r>
    </w:p>
    <w:p>
      <w:pPr>
        <w:pStyle w:val="Normal"/>
        <w:snapToGrid w:val="false"/>
        <w:spacing w:before="120" w:after="0"/>
        <w:ind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Normal"/>
        <w:snapToGrid w:val="false"/>
        <w:spacing w:before="120" w:after="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בניגוד</w:t>
      </w:r>
      <w:r>
        <w:rPr>
          <w:rFonts w:cs="Times New Roman"/>
          <w:rtl w:val="true"/>
          <w:lang w:eastAsia="he-IL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>.</w:t>
      </w:r>
    </w:p>
    <w:p>
      <w:pPr>
        <w:pStyle w:val="Normal"/>
        <w:spacing w:lineRule="atLeast" w:line="300" w:before="280" w:after="280"/>
        <w:ind w:start="720" w:end="0"/>
        <w:jc w:val="both"/>
        <w:textAlignment w:val="top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בניגוד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המסוכנים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Fonts w:cs="Arial" w:ascii="Arial" w:hAnsi="Arial"/>
          <w:color w:val="000000"/>
          <w:rtl w:val="true"/>
        </w:rPr>
        <w:t>[</w:t>
      </w:r>
      <w:r>
        <w:rPr>
          <w:rFonts w:ascii="Arial" w:hAnsi="Arial" w:cs="Arial"/>
          <w:color w:val="000000"/>
          <w:rtl w:val="true"/>
        </w:rPr>
        <w:t>נוסח חדש</w:t>
      </w:r>
      <w:r>
        <w:rPr>
          <w:rFonts w:cs="Arial" w:ascii="Arial" w:hAnsi="Arial"/>
          <w:color w:val="000000"/>
          <w:rtl w:val="true"/>
        </w:rPr>
        <w:t xml:space="preserve">], </w:t>
      </w:r>
      <w:r>
        <w:rPr>
          <w:rFonts w:ascii="Arial" w:hAnsi="Arial" w:cs="Arial"/>
          <w:color w:val="000000"/>
          <w:rtl w:val="true"/>
        </w:rPr>
        <w:t>התשל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ג</w:t>
      </w:r>
      <w:r>
        <w:rPr>
          <w:rFonts w:cs="Arial" w:ascii="Arial" w:hAnsi="Arial"/>
          <w:color w:val="000000"/>
          <w:rtl w:val="true"/>
        </w:rPr>
        <w:t>-</w:t>
      </w:r>
      <w:r>
        <w:rPr>
          <w:rFonts w:cs="Arial" w:ascii="Arial" w:hAnsi="Arial"/>
          <w:color w:val="000000"/>
        </w:rPr>
        <w:t>1973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David" w:hAnsi="David" w:eastAsia="David" w:cs="David"/>
        </w:rPr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start="720" w:end="0"/>
        <w:jc w:val="both"/>
        <w:rPr>
          <w:rFonts w:ascii="David" w:hAnsi="David" w:eastAsia="David" w:cs="David"/>
        </w:rPr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napToGrid w:val="false"/>
        <w:spacing w:before="120" w:after="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firstLine="720" w:end="0"/>
        <w:jc w:val="both"/>
        <w:rPr>
          <w:rFonts w:ascii="David" w:hAnsi="David" w:eastAsia="David" w:cs="David"/>
        </w:rPr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  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",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ההשמה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napToGrid w:val="false"/>
        <w:spacing w:before="120" w:after="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napToGrid w:val="false"/>
        <w:spacing w:before="120" w:after="0"/>
        <w:ind w:end="0"/>
        <w:jc w:val="both"/>
        <w:rPr>
          <w:rFonts w:ascii="Calibri" w:hAnsi="Calibri" w:cs="Calibri"/>
        </w:rPr>
      </w:pPr>
      <w:r>
        <w:rPr>
          <w:rtl w:val="true"/>
          <w:lang w:eastAsia="he-IL"/>
        </w:rPr>
        <w:t>לאח</w:t>
      </w:r>
      <w:r>
        <w:rPr>
          <w:color w:val="000000"/>
          <w:rtl w:val="true"/>
          <w:lang w:eastAsia="he-IL"/>
        </w:rPr>
        <w:t>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היות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גזר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הדין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חלוט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אביזרי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הנשק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והתחמושת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יושמדו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יחולטו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לפי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שיקול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דעת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קצין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משטרה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בכפוף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לכל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דין</w:t>
      </w:r>
      <w:r>
        <w:rPr>
          <w:color w:val="000000"/>
          <w:rtl w:val="true"/>
          <w:lang w:eastAsia="he-IL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המוצגים האחרים לרבות הסמים יושמדו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200"/>
        <w:ind w:end="0"/>
        <w:jc w:val="both"/>
        <w:rPr>
          <w:rFonts w:ascii="David" w:hAnsi="David" w:eastAsia="David" w:cs="David"/>
          <w:szCs w:val="26"/>
        </w:rPr>
      </w:pPr>
      <w:r>
        <w:rPr>
          <w:rFonts w:ascii="Calibri" w:hAnsi="Calibri" w:cs="Calibri"/>
          <w:b/>
          <w:b/>
          <w:bCs/>
          <w:rtl w:val="true"/>
        </w:rPr>
        <w:t xml:space="preserve">זכות ערעור תוך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 לביהמ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ש המחוזי</w:t>
      </w:r>
      <w:r>
        <w:rPr>
          <w:rFonts w:cs="Arial" w:ascii="Calibri" w:hAnsi="Calibri"/>
          <w:rtl w:val="true"/>
        </w:rPr>
        <w:t xml:space="preserve">. </w:t>
      </w:r>
      <w:r>
        <w:rPr>
          <w:rFonts w:cs="Arial" w:ascii="Calibri" w:hAnsi="Calibri"/>
          <w:sz w:val="6"/>
          <w:szCs w:val="6"/>
          <w:rtl w:val="true"/>
        </w:rPr>
        <w:t>&lt;</w:t>
      </w:r>
      <w:r>
        <w:rPr>
          <w:rFonts w:cs="Arial" w:ascii="Calibri" w:hAnsi="Calibri"/>
          <w:sz w:val="6"/>
          <w:szCs w:val="6"/>
        </w:rPr>
        <w:t>#2#</w:t>
      </w:r>
      <w:r>
        <w:rPr>
          <w:rFonts w:cs="Arial" w:ascii="Calibri" w:hAnsi="Calibri"/>
          <w:sz w:val="6"/>
          <w:szCs w:val="6"/>
          <w:rtl w:val="true"/>
        </w:rPr>
        <w:t xml:space="preserve">&gt; 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24/09/2017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נועה חקלאי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56479-12-15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סטניסלב גלמן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sz w:val="24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cs="Times New Roman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4216/7.a.;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76212" TargetMode="External"/><Relationship Id="rId13" Type="http://schemas.openxmlformats.org/officeDocument/2006/relationships/hyperlink" Target="http://www.nevo.co.il/case/2894643" TargetMode="External"/><Relationship Id="rId14" Type="http://schemas.openxmlformats.org/officeDocument/2006/relationships/hyperlink" Target="http://www.nevo.co.il/case/4694585" TargetMode="External"/><Relationship Id="rId15" Type="http://schemas.openxmlformats.org/officeDocument/2006/relationships/hyperlink" Target="http://www.nevo.co.il/case/6024035" TargetMode="External"/><Relationship Id="rId16" Type="http://schemas.openxmlformats.org/officeDocument/2006/relationships/hyperlink" Target="http://www.nevo.co.il/case/6072945" TargetMode="External"/><Relationship Id="rId17" Type="http://schemas.openxmlformats.org/officeDocument/2006/relationships/hyperlink" Target="http://www.nevo.co.il/case/18099950" TargetMode="External"/><Relationship Id="rId18" Type="http://schemas.openxmlformats.org/officeDocument/2006/relationships/hyperlink" Target="http://www.nevo.co.il/case/18071740" TargetMode="External"/><Relationship Id="rId19" Type="http://schemas.openxmlformats.org/officeDocument/2006/relationships/hyperlink" Target="http://www.nevo.co.il/case/8439165" TargetMode="External"/><Relationship Id="rId20" Type="http://schemas.openxmlformats.org/officeDocument/2006/relationships/hyperlink" Target="http://www.nevo.co.il/case/7671473" TargetMode="External"/><Relationship Id="rId21" Type="http://schemas.openxmlformats.org/officeDocument/2006/relationships/hyperlink" Target="http://www.nevo.co.il/case/2776733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2018-07-01T12:20:00Z</dcterms:created>
  <dc:creator> </dc:creator>
  <dc:description/>
  <cp:keywords/>
  <dc:language>en-IL</dc:language>
  <cp:lastModifiedBy>run</cp:lastModifiedBy>
  <dcterms:modified xsi:type="dcterms:W3CDTF">2018-07-01T12:20:00Z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סטניסלב גלמן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5576212;2894643;4694585;6024035;6072945;18099950;18071740;8439165;7671473;2776733</vt:lpwstr>
  </property>
  <property fmtid="{D5CDD505-2E9C-101B-9397-08002B2CF9AE}" pid="9" name="CITY">
    <vt:lpwstr>ק"ג</vt:lpwstr>
  </property>
  <property fmtid="{D5CDD505-2E9C-101B-9397-08002B2CF9AE}" pid="10" name="DATE">
    <vt:lpwstr>20170924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נועה חקלאי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70301/144.a;144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56479</vt:lpwstr>
  </property>
  <property fmtid="{D5CDD505-2E9C-101B-9397-08002B2CF9AE}" pid="23" name="NEWPARTB">
    <vt:lpwstr>12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380020170924</vt:lpwstr>
  </property>
  <property fmtid="{D5CDD505-2E9C-101B-9397-08002B2CF9AE}" pid="35" name="TYPE_N_DATE">
    <vt:lpwstr>38020170924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