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56792-09-17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חדיג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928"/>
        <w:gridCol w:w="3969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מיכאל 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2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396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92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396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צאלח חדיג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מוחמד 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באלי – נדון  </w:t>
            </w:r>
          </w:p>
        </w:tc>
      </w:tr>
    </w:tbl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תוהמי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נבון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  <w:u w:val="single"/>
        </w:rPr>
      </w:pPr>
      <w:r>
        <w:rPr>
          <w:rFonts w:cs="Arial" w:ascii="Arial" w:hAnsi="Arial"/>
          <w:color w:val="0000FF"/>
          <w:sz w:val="26"/>
          <w:szCs w:val="26"/>
          <w:u w:val="single"/>
          <w:rtl w:val="true"/>
        </w:rPr>
      </w:r>
      <w:bookmarkStart w:id="6" w:name="LawTable_End"/>
      <w:bookmarkStart w:id="7" w:name="LawTable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גזר דין 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נאשם </w:t>
            </w:r>
            <w:r>
              <w:rPr>
                <w:rFonts w:cs="Arial" w:ascii="Arial" w:hAnsi="Arial"/>
                <w:b/>
                <w:bCs/>
                <w:sz w:val="32"/>
                <w:szCs w:val="32"/>
              </w:rPr>
              <w:t>1</w:t>
            </w: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>)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>נאשם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צאלח חדיג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ה יליד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בגזר דין זה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דיוני שלא כלל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של </w:t>
      </w:r>
      <w:r>
        <w:rPr>
          <w:rFonts w:ascii="Arial" w:hAnsi="Arial" w:cs="Arial"/>
          <w:b/>
          <w:b/>
          <w:bCs/>
          <w:rtl w:val="true"/>
        </w:rPr>
        <w:t xml:space="preserve">סיוע להחזקת נשק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ריבוי עבירות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איומים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b/>
          <w:b/>
          <w:bCs/>
          <w:rtl w:val="true"/>
        </w:rPr>
        <w:t>שיבוש מהלכי משפט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15.9.2017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מוסטפא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19.9.2017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התיק</w:t>
      </w:r>
      <w:r>
        <w:rPr>
          <w:rtl w:val="true"/>
        </w:rPr>
        <w:t xml:space="preserve">")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יריחו</w:t>
      </w:r>
      <w:r>
        <w:rPr>
          <w:rtl w:val="true"/>
        </w:rPr>
        <w:t xml:space="preserve">" </w:t>
      </w:r>
      <w:r>
        <w:rPr>
          <w:rtl w:val="true"/>
        </w:rPr>
        <w:t>ולרובה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>".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bookmarkStart w:id="10" w:name="ABSTRACT_END"/>
      <w:bookmarkEnd w:id="10"/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16:00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בקנהו</w:t>
      </w:r>
      <w:r>
        <w:rPr>
          <w:rtl w:val="true"/>
        </w:rPr>
        <w:t xml:space="preserve">)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הניקיון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לבחירותיו</w:t>
      </w:r>
      <w:r>
        <w:rPr>
          <w:rtl w:val="true"/>
        </w:rPr>
        <w:t>.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18.7.2018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tl w:val="true"/>
        </w:rPr>
        <w:t>.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כשתוצאותיה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תתרחש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תנאיה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start="0" w:end="0"/>
        <w:jc w:val="both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תוהמי</w:t>
      </w:r>
      <w:r>
        <w:rPr>
          <w:rtl w:val="true"/>
        </w:rPr>
        <w:t xml:space="preserve">,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הוגשה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"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Fonts w:ascii="Arial" w:hAnsi="Arial" w:cs="Arial"/>
          <w:rtl w:val="true"/>
        </w:rPr>
        <w:t>על חומרתה של עבירת החזקת הנשק דובר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ספק כי היא טומנת בחובה סכנה ממשית לשלום הציבור ובטחונו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אזור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ובתי המשפט נדרשים לתת 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בדרך של 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לנסות ולעצור תופעה מדאיגה זו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start"/>
        <w:rPr/>
      </w:pPr>
      <w:r>
        <w:rPr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Fonts w:ascii="Arial" w:hAnsi="Arial" w:cs="Arial"/>
          <w:rtl w:val="true"/>
        </w:rPr>
        <w:t>המגמה המחמירה הבאה לידי ביטוי בפסיקה ברורה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התופעה מתפשטת ומתרחבת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בהרתעה גדל והולך וחומרת העונשים המוטלים על העוברים את עבירות הנשק 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ניתן לראות זאת בפסקי הדין שהובאו על ידי המאשימה ובשורה של פסקי דין נוספים מהשנים האחרונות</w:t>
      </w:r>
      <w:r>
        <w:rPr>
          <w:rtl w:val="true"/>
        </w:rPr>
        <w:t>.</w:t>
      </w:r>
    </w:p>
    <w:p>
      <w:pPr>
        <w:pStyle w:val="Style14"/>
        <w:spacing w:lineRule="auto" w:line="360"/>
        <w:ind w:firstLine="720" w:start="0" w:end="0"/>
        <w:jc w:val="both"/>
        <w:rPr/>
      </w:pPr>
      <w:r>
        <w:rPr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5214/13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סירחאן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30.12.2013</w:t>
      </w:r>
      <w:r>
        <w:rPr>
          <w:rtl w:val="true"/>
        </w:rPr>
        <w:t xml:space="preserve">)].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בהתחשב בעיקרון המנחה בענישה לפיו על העונש להלום את חומרת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בערכים המוגנים העומדים ביסוד העבירות אותן ביצע הנאשם שעיקרם ביטחון ושלום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ברמת הענישה המקובלת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27108-01-16</w:t>
        </w:r>
      </w:hyperlink>
      <w:r>
        <w:rPr>
          <w:rtl w:val="true"/>
        </w:rPr>
        <w:t xml:space="preserve"> (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8.5.2016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50329-10-15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26.1.2016</w:t>
      </w:r>
      <w:r>
        <w:rPr>
          <w:rtl w:val="true"/>
        </w:rPr>
        <w:t>)]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מרכז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לוד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1885-07-18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פדילה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6.11.2018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בו אישר בית המשפט המחוזי מתחם עונש הולם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שקבעתי בעניינו של מי שהחזיק שני כלי נשק התקפיים ותחמושת תואמת בגזר דיני ב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כ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ס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37519-03-17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פדילה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13.6.2018</w:t>
      </w:r>
      <w:r>
        <w:rPr>
          <w:rFonts w:cs="Arial" w:ascii="Arial" w:hAnsi="Arial"/>
          <w:rtl w:val="true"/>
        </w:rPr>
        <w:t xml:space="preserve">)], </w:t>
      </w:r>
      <w:r>
        <w:rPr>
          <w:rFonts w:ascii="Arial" w:hAnsi="Arial" w:cs="Arial"/>
          <w:u w:val="single"/>
          <w:rtl w:val="true"/>
        </w:rPr>
        <w:t>ובנסיבות הקשורות בביצוע העבירות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מספרם של כלי הנשק שהוחזקו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היו טעונים במחסניות מלאות בכדורים תואמים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כמות וסוגי התחמושת שהוחזקו והעבירות הנוספות שביצע הנאשם </w:t>
      </w:r>
      <w:r>
        <w:rPr>
          <w:rFonts w:ascii="Arial" w:hAnsi="Arial" w:cs="Arial"/>
          <w:u w:val="single"/>
          <w:rtl w:val="true"/>
        </w:rPr>
        <w:t xml:space="preserve">ובעיקר </w:t>
      </w:r>
      <w:r>
        <w:rPr>
          <w:rFonts w:ascii="Arial" w:hAnsi="Arial" w:cs="Arial"/>
          <w:u w:val="single"/>
          <w:rtl w:val="true"/>
        </w:rPr>
        <w:t>–</w:t>
      </w:r>
      <w:r>
        <w:rPr>
          <w:rFonts w:ascii="Arial" w:hAnsi="Arial" w:cs="Arial"/>
          <w:u w:val="single"/>
          <w:rtl w:val="true"/>
        </w:rPr>
        <w:t xml:space="preserve"> במתחם העונש ההולם שקבעתי בעניינו של המבצע העיקרי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נאשם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(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24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42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</w:t>
      </w:r>
      <w:r>
        <w:rPr>
          <w:rFonts w:cs="Arial" w:ascii="Arial" w:hAnsi="Arial"/>
          <w:u w:val="single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אני קובע כי מתחם העונש ההולם את מעשי הנאשם כאן נע בין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הקנס ההולם את העבירה בנסיבותיה ינוע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בהתאמה למתחם שקבעתי 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Style14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גזירת העונש</w:t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צעיר לימים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הודה לפניי בהזדמנות הראשונה בהסדר טיעון ששינה מן הקצה אל הקצה את האחריות שיוחסה לו בכתב האישום המקורי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לחובת הנאשם הרשעות קודמות מכל סוג או מין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עקרוני מן הראוי היה לגזור עליו עונש בתחתית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כפי שלמעשה מציעה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אף כי עתרה למתחם עונש אחר מזה שנקבע על ידי</w:t>
      </w:r>
      <w:r>
        <w:rPr>
          <w:rFonts w:cs="Arial" w:ascii="Arial" w:hAnsi="Arial"/>
          <w:rtl w:val="true"/>
        </w:rPr>
        <w:t>).</w:t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אלא שבמקרה מיוחד זה ראוי לדעתי לחרוג לקולה ממתחם העונש ההולם לצרכי שיקום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ראינו כי הנאשם עלה על דרך השיקום והוא צועד בה בבטחה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בניגוד לעמדת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טיעוניה לעונש 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אינני סבור כי הנאשם אינו נוטל אחריות על העבירה שביצע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ההפך הוא הנכון וההסבר שנתן הנאשם למעשיו מתיישב עם התיקון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רמת הסיכון הנשקפת מפניו כבר עתה נמוכה והיא צפויה להצטמצם עוד בתום הטיפול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חומרתן המופלגת של 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ורמת הענישה הנוהגת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יתכן שבמציאות הקודמת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 עונש המאסר המרבי שניתן לרצות בעבודות שירות עמד על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מנוס מלשלוח את הנאשם שלפניי אל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אלא שלאחרונה תיקן המחוקק את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כי עונש המאסר המרבי שניתן לרצות בעבודות שירות יעמוד על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Style14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כך עשה המחוקק בהתאם לדוח הוועדה לבחינת מדיניות הענישה והטיפול בעבריינים בראשות שופטת בית המשפט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בדימוס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דליה דורנר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שהציעה להרחיב את השימוש בענישה בקהילה כתחליף לעונשי מאסר קצרים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שמירה על עקרון ההלימה בין חומרת העבירה לעונש הקהילתי שיוטל על העבריין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ומתוך מחשבה כי התיקון יביא לצמצום השימוש במאסרים במקרים שבהם המאסר אינו הכרחי לצורך הגבלת יכולתו של העבריין לביצוע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לגבי עבריינים שהמסוכנות שלהם לחברה אינה גבוהה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הצעת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נשיאת מאסר בעבודות שירות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הוראת שעה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הממשלה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1091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בחשוון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14.11.2016</w:t>
      </w:r>
      <w:r>
        <w:rPr>
          <w:rFonts w:cs="Arial" w:ascii="Arial" w:hAnsi="Arial"/>
          <w:rtl w:val="true"/>
        </w:rPr>
        <w:t>).</w:t>
      </w:r>
    </w:p>
    <w:p>
      <w:pPr>
        <w:pStyle w:val="Style14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החלטתי אפוא לחרוג לקולה ממתחם העונש ההולם שקבעתי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שמירה על עקרון ההלימה בין חומרת העבירה לעונש שאשית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גוזר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שירוצה בעבודות שירות בבית לשובע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2.7.2019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להתייצב לריצוי עונשו באותו מועד בשעה </w:t>
      </w:r>
      <w:r>
        <w:rPr>
          <w:rFonts w:cs="Arial" w:ascii="Arial" w:hAnsi="Arial"/>
        </w:rPr>
        <w:t>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ביחידת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מפקדת מרכז ברמלה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הוא כי בתקופה בת שלוש שנים מיום שחרורו לא יעבור הנאשם עבירה בה הורשע או עבירה בה נעשה שימוש בנשק</w:t>
      </w:r>
      <w:r>
        <w:rPr>
          <w:rFonts w:cs="Arial" w:ascii="Arial" w:hAnsi="Arial"/>
          <w:rtl w:val="true"/>
        </w:rPr>
        <w:t>.</w:t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Style14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 חודש מאסר תמורתו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הקנס ישתלם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ביום </w:t>
      </w:r>
      <w:r>
        <w:rPr>
          <w:rFonts w:cs="Arial" w:ascii="Arial" w:hAnsi="Arial"/>
        </w:rPr>
        <w:t>1.7.2019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ובכל אחד בחודש שלאחריו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לוד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bookmarkStart w:id="11" w:name="Nitan"/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אייר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29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   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56792-09-17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צאלח חדיג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case/7807298" TargetMode="External"/><Relationship Id="rId4" Type="http://schemas.openxmlformats.org/officeDocument/2006/relationships/hyperlink" Target="http://www.nevo.co.il/case/20881655" TargetMode="External"/><Relationship Id="rId5" Type="http://schemas.openxmlformats.org/officeDocument/2006/relationships/hyperlink" Target="http://www.nevo.co.il/case/20658167" TargetMode="External"/><Relationship Id="rId6" Type="http://schemas.openxmlformats.org/officeDocument/2006/relationships/hyperlink" Target="http://www.nevo.co.il/case/2233493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2020-10-08T10:32:00Z</dcterms:created>
  <dc:creator> </dc:creator>
  <dc:description/>
  <cp:keywords/>
  <dc:language>en-IL</dc:language>
  <cp:lastModifiedBy>yafit</cp:lastModifiedBy>
  <dcterms:modified xsi:type="dcterms:W3CDTF">2020-10-08T10:32:00Z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צאלח חדיג'ה;מוחמד ג'באלי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7807298;20881655;20658167;22334933</vt:lpwstr>
  </property>
  <property fmtid="{D5CDD505-2E9C-101B-9397-08002B2CF9AE}" pid="9" name="CITY">
    <vt:lpwstr>כ"ס</vt:lpwstr>
  </property>
  <property fmtid="{D5CDD505-2E9C-101B-9397-08002B2CF9AE}" pid="10" name="DATE">
    <vt:lpwstr>20190529</vt:lpwstr>
  </property>
  <property fmtid="{D5CDD505-2E9C-101B-9397-08002B2CF9AE}" pid="11" name="ISABSTRACT">
    <vt:lpwstr>Y</vt:lpwstr>
  </property>
  <property fmtid="{D5CDD505-2E9C-101B-9397-08002B2CF9AE}" pid="12" name="JUDGE">
    <vt:lpwstr>מיכאל קרשן</vt:lpwstr>
  </property>
  <property fmtid="{D5CDD505-2E9C-101B-9397-08002B2CF9AE}" pid="13" name="LAWLISTTMP1">
    <vt:lpwstr>70301:2</vt:lpwstr>
  </property>
  <property fmtid="{D5CDD505-2E9C-101B-9397-08002B2CF9AE}" pid="14" name="LAWYER">
    <vt:lpwstr>אוריה תוהמי;אמיר נבון</vt:lpwstr>
  </property>
  <property fmtid="{D5CDD505-2E9C-101B-9397-08002B2CF9AE}" pid="15" name="NEWPARTA">
    <vt:lpwstr>56792</vt:lpwstr>
  </property>
  <property fmtid="{D5CDD505-2E9C-101B-9397-08002B2CF9AE}" pid="16" name="NEWPARTB">
    <vt:lpwstr>09</vt:lpwstr>
  </property>
  <property fmtid="{D5CDD505-2E9C-101B-9397-08002B2CF9AE}" pid="17" name="NEWPARTC">
    <vt:lpwstr>17</vt:lpwstr>
  </property>
  <property fmtid="{D5CDD505-2E9C-101B-9397-08002B2CF9AE}" pid="18" name="NEWPROC">
    <vt:lpwstr>תפ</vt:lpwstr>
  </property>
  <property fmtid="{D5CDD505-2E9C-101B-9397-08002B2CF9AE}" pid="19" name="PROCESS">
    <vt:lpwstr/>
  </property>
  <property fmtid="{D5CDD505-2E9C-101B-9397-08002B2CF9AE}" pid="20" name="PROCNUM">
    <vt:lpwstr/>
  </property>
  <property fmtid="{D5CDD505-2E9C-101B-9397-08002B2CF9AE}" pid="21" name="PROCYEAR">
    <vt:lpwstr/>
  </property>
  <property fmtid="{D5CDD505-2E9C-101B-9397-08002B2CF9AE}" pid="22" name="PSAKDIN">
    <vt:lpwstr>גזר-דין</vt:lpwstr>
  </property>
  <property fmtid="{D5CDD505-2E9C-101B-9397-08002B2CF9AE}" pid="23" name="TYPE">
    <vt:lpwstr>3</vt:lpwstr>
  </property>
  <property fmtid="{D5CDD505-2E9C-101B-9397-08002B2CF9AE}" pid="24" name="TYPE_ABS_DATE">
    <vt:lpwstr>380020190529</vt:lpwstr>
  </property>
  <property fmtid="{D5CDD505-2E9C-101B-9397-08002B2CF9AE}" pid="25" name="TYPE_N_DATE">
    <vt:lpwstr>38020190529</vt:lpwstr>
  </property>
  <property fmtid="{D5CDD505-2E9C-101B-9397-08002B2CF9AE}" pid="26" name="WORDNUMPAGES">
    <vt:lpwstr>6</vt:lpwstr>
  </property>
</Properties>
</file>