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0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803"/>
        <w:gridCol w:w="3504"/>
      </w:tblGrid>
      <w:tr>
        <w:trPr>
          <w:trHeight w:val="704" w:hRule="exact"/>
        </w:trPr>
        <w:tc>
          <w:tcPr>
            <w:tcW w:w="8307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color w:val="000080"/>
                <w:sz w:val="32"/>
                <w:sz w:val="32"/>
                <w:szCs w:val="32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480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יובל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ליבדרו</w:t>
            </w:r>
          </w:p>
        </w:tc>
        <w:tc>
          <w:tcPr>
            <w:tcW w:w="3504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5683-04-21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3249" w:type="dxa"/>
            <w:tcBorders/>
          </w:tcPr>
          <w:p>
            <w:pPr>
              <w:pStyle w:val="Normal"/>
              <w:suppressLineNumbers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uppressLineNumbers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 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 לואי עזאם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uppressLineNumbers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נאש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ם 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יוסף דבסאן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בעצמו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 ראיד אלעוברה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29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334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)(</w:t>
        </w:r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)</w:t>
        </w:r>
      </w:hyperlink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center"/>
        <w:rPr>
          <w:rFonts w:ascii="Arial" w:hAnsi="Arial" w:cs="Arial"/>
          <w:bCs/>
          <w:lang w:val="en-US" w:eastAsia="en-US"/>
        </w:rPr>
      </w:pPr>
      <w:bookmarkStart w:id="8" w:name="PsakDin"/>
      <w:bookmarkEnd w:id="8"/>
      <w:r>
        <w:rPr>
          <w:rFonts w:ascii="Arial" w:hAnsi="Arial" w:cs="Arial"/>
          <w:bCs/>
          <w:rtl w:val="true"/>
          <w:lang w:val="en-US" w:eastAsia="en-US"/>
        </w:rPr>
        <w:t>גזר דין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bookmarkStart w:id="9" w:name="PsakDin"/>
      <w:bookmarkEnd w:id="9"/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מבוא</w:t>
      </w:r>
    </w:p>
    <w:p>
      <w:pPr>
        <w:pStyle w:val="ListParagraph"/>
        <w:numPr>
          <w:ilvl w:val="0"/>
          <w:numId w:val="1"/>
        </w:numPr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bookmarkStart w:id="10" w:name="ABSTRACT_START"/>
      <w:bookmarkEnd w:id="10"/>
      <w:r>
        <w:rPr>
          <w:rFonts w:ascii="Arial" w:hAnsi="Arial" w:cs="Arial"/>
          <w:rtl w:val="true"/>
          <w:lang w:val="en-US" w:eastAsia="en-US"/>
        </w:rPr>
        <w:t>הנאשם הורשע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פי הודאתו במסגרת הסדר טיעון בכתב אישום מתוקן בעבירות של הובלה ונשיאת נשק ופציעה בנסיבות מחמירות בצוותא חדא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עבירות לפי </w:t>
      </w:r>
      <w:hyperlink r:id="rId8">
        <w:r>
          <w:rPr>
            <w:rStyle w:val="Hyperlink"/>
            <w:rFonts w:ascii="Arial" w:hAnsi="Arial" w:cs="Arial"/>
            <w:rtl w:val="true"/>
            <w:lang w:val="en-US" w:eastAsia="en-US"/>
          </w:rPr>
          <w:t>סעיפים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רישא ו</w:t>
      </w:r>
      <w:r>
        <w:rPr>
          <w:rFonts w:cs="Arial" w:ascii="Arial" w:hAnsi="Arial"/>
          <w:rtl w:val="true"/>
          <w:lang w:val="en-US" w:eastAsia="en-US"/>
        </w:rPr>
        <w:t>-</w:t>
      </w:r>
      <w:hyperlink r:id="rId9">
        <w:r>
          <w:rPr>
            <w:rStyle w:val="Hyperlink"/>
            <w:rFonts w:cs="Arial" w:ascii="Arial" w:hAnsi="Arial"/>
            <w:lang w:val="en-US" w:eastAsia="en-US"/>
          </w:rPr>
          <w:t>334</w:t>
        </w:r>
      </w:hyperlink>
      <w:r>
        <w:rPr>
          <w:rFonts w:cs="Arial" w:ascii="Arial" w:hAnsi="Arial"/>
          <w:rtl w:val="true"/>
          <w:lang w:val="en-US" w:eastAsia="en-US"/>
        </w:rPr>
        <w:t xml:space="preserve">+ </w:t>
      </w:r>
      <w:hyperlink r:id="rId10">
        <w:r>
          <w:rPr>
            <w:rStyle w:val="Hyperlink"/>
            <w:rFonts w:cs="Arial" w:ascii="Arial" w:hAnsi="Arial"/>
            <w:lang w:val="en-US" w:eastAsia="en-US"/>
          </w:rPr>
          <w:t>335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lang w:val="en-US" w:eastAsia="en-US"/>
          </w:rPr>
          <w:t>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hyperlink r:id="rId11"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lang w:val="en-US" w:eastAsia="en-US"/>
          </w:rPr>
          <w:t>2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+ </w:t>
      </w:r>
      <w:hyperlink r:id="rId12">
        <w:r>
          <w:rPr>
            <w:rStyle w:val="Hyperlink"/>
            <w:rFonts w:cs="Arial" w:ascii="Arial" w:hAnsi="Arial"/>
            <w:lang w:val="en-US" w:eastAsia="en-US"/>
          </w:rPr>
          <w:t>29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bookmarkStart w:id="11" w:name="ABSTRACT_END"/>
      <w:bookmarkEnd w:id="11"/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חוק העונשין</w:t>
      </w:r>
      <w:r>
        <w:rPr>
          <w:rFonts w:cs="Arial" w:ascii="Arial" w:hAnsi="Arial"/>
          <w:rtl w:val="true"/>
          <w:lang w:val="en-US" w:eastAsia="en-US"/>
        </w:rPr>
        <w:t>").</w:t>
      </w:r>
    </w:p>
    <w:p>
      <w:pPr>
        <w:pStyle w:val="ListParagraph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בין הצדדים לא הושגה הסכמה עונשית במסגרת הסדר הטיעון וכל צד טען לעונש באופן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חופשי</w:t>
      </w:r>
      <w:r>
        <w:rPr>
          <w:rFonts w:cs="Arial" w:ascii="Arial" w:hAnsi="Arial"/>
          <w:rtl w:val="true"/>
          <w:lang w:val="en-US" w:eastAsia="en-US"/>
        </w:rPr>
        <w:t>".</w:t>
      </w:r>
    </w:p>
    <w:p>
      <w:pPr>
        <w:pStyle w:val="ListParagraph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spacing w:lineRule="auto" w:line="360"/>
        <w:ind w:start="85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כתב האישום</w:t>
      </w:r>
    </w:p>
    <w:p>
      <w:pPr>
        <w:pStyle w:val="ListParagraph"/>
        <w:numPr>
          <w:ilvl w:val="0"/>
          <w:numId w:val="1"/>
        </w:numPr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הוא בן משפחתם של המתלוננים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ומתלונן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הוא אחיינו של מתלונן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בין משפחת הנאשם למשפחת המתלוננים קיים סכסוך על רקע בעלות באדמות הנמצאות בסמוך לבתיהם ברהט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האדמות</w:t>
      </w:r>
      <w:r>
        <w:rPr>
          <w:rFonts w:cs="Arial" w:ascii="Arial" w:hAnsi="Arial"/>
          <w:rtl w:val="true"/>
          <w:lang w:val="en-US" w:eastAsia="en-US"/>
        </w:rPr>
        <w:t xml:space="preserve">"). </w:t>
      </w:r>
    </w:p>
    <w:p>
      <w:pPr>
        <w:pStyle w:val="ListParagraph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בתאריך </w:t>
      </w:r>
      <w:r>
        <w:rPr>
          <w:rFonts w:cs="Arial" w:ascii="Arial" w:hAnsi="Arial"/>
          <w:lang w:val="en-US" w:eastAsia="en-US"/>
        </w:rPr>
        <w:t>27.3.2021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בשעה </w:t>
      </w:r>
      <w:r>
        <w:rPr>
          <w:rFonts w:cs="Arial" w:ascii="Arial" w:hAnsi="Arial"/>
          <w:lang w:val="en-US" w:eastAsia="en-US"/>
        </w:rPr>
        <w:t>10:30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או בסמוך לכך היו המתלוננים יחד עם אחרים באדמות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למקום הגיע הנאשם יחד עם אחיו מוראד ועאמר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מוראד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 "</w:t>
      </w:r>
      <w:r>
        <w:rPr>
          <w:rFonts w:ascii="Arial" w:hAnsi="Arial" w:cs="Arial"/>
          <w:rtl w:val="true"/>
          <w:lang w:val="en-US" w:eastAsia="en-US"/>
        </w:rPr>
        <w:t>עאמר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 xml:space="preserve">וביחד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האחים</w:t>
      </w:r>
      <w:r>
        <w:rPr>
          <w:rFonts w:cs="Arial" w:ascii="Arial" w:hAnsi="Arial"/>
          <w:rtl w:val="true"/>
          <w:lang w:val="en-US" w:eastAsia="en-US"/>
        </w:rPr>
        <w:t>").</w:t>
      </w:r>
    </w:p>
    <w:p>
      <w:pPr>
        <w:pStyle w:val="ListParagraph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בין הנאשם ואחיו לבין משפחת המתלוננים שהייתה במקום החל ויכוח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ואחיו עזבו את המקום אך זמן קצר לאחר מכן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מוראד ובנו של הנאשם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נאדר</w:t>
      </w:r>
      <w:r>
        <w:rPr>
          <w:rFonts w:cs="Arial" w:ascii="Arial" w:hAnsi="Arial"/>
          <w:rtl w:val="true"/>
          <w:lang w:val="en-US" w:eastAsia="en-US"/>
        </w:rPr>
        <w:t xml:space="preserve">") </w:t>
      </w:r>
      <w:r>
        <w:rPr>
          <w:rFonts w:ascii="Arial" w:hAnsi="Arial" w:cs="Arial"/>
          <w:rtl w:val="true"/>
          <w:lang w:val="en-US" w:eastAsia="en-US"/>
        </w:rPr>
        <w:t>שבו למקום ברכב מסוג טויוטה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הנאשם נוהג ברכב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מוראד יושב לצדו ונאדר יושב מאחור כשהם מצוידים בכלי 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במהלך הנסיעה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התקרבו אל המתלונן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שלף מוראד רובה מסוג לא ידוע אשר יורה קליעים בקוטר </w:t>
      </w:r>
      <w:r>
        <w:rPr>
          <w:rFonts w:cs="Arial" w:ascii="Arial" w:hAnsi="Arial"/>
          <w:lang w:val="en-US" w:eastAsia="en-US"/>
        </w:rPr>
        <w:t>5.56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הוציאו מחלון הנוסע לצד הנהג והחל לירות באוויר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מיד לאחר מכן כאשר הרכב נעצר ירד מוראד מהרכב והמשיך לירות באוויר ולכוון הקרקע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בשלב זה הנאשם ירד מהרכב ומוראד ירה מספר יריות מרובה מסוג שאינו ידוע היורה קליעים בקוטר של </w:t>
      </w:r>
      <w:r>
        <w:rPr>
          <w:rFonts w:cs="Arial" w:ascii="Arial" w:hAnsi="Arial"/>
          <w:lang w:val="en-US" w:eastAsia="en-US"/>
        </w:rPr>
        <w:t>5.56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 שנשא בידו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מתלונן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הבחין במתלונן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כשהוא שרוע על הארץ וניגש אליו לסייע לו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או אז הגיעו הנאשם או מי מבני משפחתו והיכו אותו בגופו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את המתלונן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בבעיטות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במוטות ברזל ובמקלות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לאחר שאשת הנאשם התערבה והרחיקה את בני משפחתה הסתיים האירוע והמתלוננים פונו לבית החולים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כתוצאה מהמעשים נגרם למתלונן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פצע חדירה מעל שוק שמאל לטרלית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נקב קטן מעל אספקט מדיאלי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ובו נימוש רסיס מתחת לעור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שני פצעים מעל כף הרגל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רסיס בשוק ימין ומספר רסיסים ב</w:t>
      </w:r>
      <w:r>
        <w:rPr>
          <w:rFonts w:cs="David" w:ascii="David" w:hAnsi="David"/>
          <w:lang w:val="en-US" w:eastAsia="en-US"/>
        </w:rPr>
        <w:t>MTT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כף רגל שמאל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מתלונן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סבל מכאבים בכל חלקי גופו וכן מתפיחות רקמות רכות של עליון ימין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סימני חבלה ונפיחות מעל שכם ימין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פצע לינארי עם דמם דיפוזי באזור אוקציפיטלי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פצע שנסגר עם סיכות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ללא דמם באזור פריאטלי משמאל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spacing w:lineRule="auto" w:line="360"/>
        <w:ind w:hanging="709" w:start="85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תסקיר שירות המבחן</w:t>
      </w:r>
    </w:p>
    <w:p>
      <w:pPr>
        <w:pStyle w:val="ListParagraph"/>
        <w:numPr>
          <w:ilvl w:val="0"/>
          <w:numId w:val="1"/>
        </w:numPr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בעניינו של הנאשם הוגש תסקיר של שירות המבחן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התסקיר עולה כי הנאשם כבן </w:t>
      </w:r>
      <w:r>
        <w:rPr>
          <w:rFonts w:cs="Arial" w:ascii="Arial" w:hAnsi="Arial"/>
          <w:lang w:val="en-US" w:eastAsia="en-US"/>
        </w:rPr>
        <w:t>53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נשוי ואב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ילדים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סיים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לימוד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עזב את לימודיו בשל הצורך לסייע בפרנסת משפחתו וטרם עצרו עבד כמפעיל מנוף במשך </w:t>
      </w:r>
      <w:r>
        <w:rPr>
          <w:rFonts w:cs="Arial" w:ascii="Arial" w:hAnsi="Arial"/>
          <w:lang w:val="en-US" w:eastAsia="en-US"/>
        </w:rPr>
        <w:t>33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שיתף כי למעט מעורבות של חלק ממשפחתו בתיק הנוכחי משפחתו מנהלת אורח חיים נורמטיבי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ביחס לעבירות  מסר הנאשם שהוא לא היה מודע שברשותו של מוראד היה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לאחר שהתחיל הירי ברח בפחד מהמקום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הודה בחלק מעובדות כתב האישום אף שלא ביצע את הכתוב בו רק על מנת לסגור הסדר 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וכן שהטעות שלו הייתה שלא הזמין משטרה למקום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שירות המבחן ציין כי ניסיונות שנערכו ליצור קשר עם המתלוננים לא צלח וכי אלו אף לא הגיעו לפגישה שתואמה איתם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שירות המבחן התרשם שהנאשם שמר על יציבות תעסוקתית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הוא נעדר עבר פלילי וכי קיים סיכוי לשיקום בעניינו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לצד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שירות המבחן התרשם שלא ניתן להתעלם מהסכסוך הפעיל על אדמה הקיים בין הפלגים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מהעובדה שלא נחתם הסכם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סולחה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בין הצדדים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מהמחויבות המשפחתית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מכך שהנאשם אינו לוקח אחריות על חלקו בביצוע העבירות ומשליך את האחריות על 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מכך שהנאשם מתקשה לגשר על הפער בין תפיסתו את עצמו כנורמטיבי לבין התנהלותו בעת ביצוע העבירות ומכך שהוא מתקשה להפנים את הבעייתיות בהתנהלותו</w:t>
      </w:r>
      <w:r>
        <w:rPr>
          <w:rFonts w:cs="Arial" w:ascii="Arial" w:hAnsi="Arial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שירות המבחן התרשם כי קיים סיכון גבוה למעורבות חוזרת מצד הנאשם בעבירות אלימות במסגרת הסכסוך בין הפלגים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שירות המבחן המליץ להטיל על הנאשם ענישה מוחשית בדמות מאסר בפועל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כאן המקום לציין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לנוכח עמדת הנאשם ביחס לביצוע העבירות כמפורט בתסקיר נערך בדיון הטיעונים לעונש בירור בנדון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הבהיר כי הנאשם אינו חוזר בו מהודאתו בכתב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אם נהפוך הוא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הוא חוזר ומודה בו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לפרוט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מיום </w:t>
      </w:r>
      <w:r>
        <w:rPr>
          <w:rFonts w:cs="Arial" w:ascii="Arial" w:hAnsi="Arial"/>
          <w:lang w:val="en-US" w:eastAsia="en-US"/>
        </w:rPr>
        <w:t>9.6.2022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טיעוני הצדדים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המאשימה</w:t>
      </w:r>
      <w:r>
        <w:rPr>
          <w:rFonts w:ascii="Arial" w:hAnsi="Arial" w:cs="Arial"/>
          <w:rtl w:val="true"/>
          <w:lang w:val="en-US" w:eastAsia="en-US"/>
        </w:rPr>
        <w:t xml:space="preserve"> טענה לעונש בכתב והשלימה טיעוניה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פה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המאשימה טענה כי מתחם העונש ההולם נע בין </w:t>
      </w:r>
      <w:r>
        <w:rPr>
          <w:rFonts w:cs="Arial" w:ascii="Arial" w:hAnsi="Arial"/>
          <w:lang w:val="en-US" w:eastAsia="en-US"/>
        </w:rPr>
        <w:t>4.5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6.5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המאשימה עתרה לעונש של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מאסר מותנה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קנס ופיצוי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המאשימה הפנתה לערכים המוגנים שנפגעו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למידת הפגיעה בהם ולנסיבות ביצוע העבירה לרבות לתעוזה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לשימוש בנשק חם לא חוקי שנעשה באירוע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לעובדה שהאירוע התרחש בלב שכונת מגורים בשעות היום ולסיכון עוברי אורח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לחלקו המרכזי של הנאשם באירוע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לנזק שנגרם ולפוטנציאל הנזק שעלול היה להיגרם ולגילו ולמעמדו של הנאשם במשפחתו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המאשימה הפנתה לתופעת האלימות המתרחבת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בפרט בחברה הערבית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להנחיית פרקליט המדינה ולהחמרה במדיניות הענישה לשם הרתעה ומיגור התופעה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המאשימה הפנתה לתסקיר שירות המבחן ולכך שהנאשם לא הביע חרטה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לקח אחריות על מעשיו וניסה לצמצם את מעורבותו באירוע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המאשימה הפנתה לפסיקה לתמיכה בעמדתה העונשית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 הנאשם</w:t>
      </w:r>
      <w:r>
        <w:rPr>
          <w:rFonts w:ascii="Arial" w:hAnsi="Arial" w:cs="Arial"/>
          <w:rtl w:val="true"/>
          <w:lang w:val="en-US" w:eastAsia="en-US"/>
        </w:rPr>
        <w:t xml:space="preserve"> טען כי מתחם העונש ההולם נע בין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הנאשם עתר להטיל על הנאשם עונש של שנתיים מאסר ועונשים נלווים של מאסר מותנה וקנס מתון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לנוכח מצבו הכלכלי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אותו ביקש לשלם לאחר שחרורו מהמאסר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הלין על כך שהפגישה שערך שירות המבחן עם הנאשם נערכה בהיוועדות חזותית וללא מתורגמן לשפה הערבית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הגם שבהמשך אישר לשאלת בית המשפט כי בדיון שבו ביקש לקבל תסקיר של שירות המבחן מסר הוא שאין צורך בקצין מבחן דובר השפה הערבית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מה שפגע ביכולת הנאשם להסביר את דבריו לקצין המבחן כראוי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טען כי יש לזקוף לזכות הנאשם את העובדה שהוא הודה בהזדמנות הראשונה ולקח אחריות על מעשיו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הגם שתחילה חזר בו מהודאתו ושב להודות בהמשך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הפנה בטיעוניו לכך שהנאשם נעדר עבר פלילי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ליציבות התעסוקתית שגילה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לעובדת היותו נשוי ואב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ילדים אותם הוא מגדל בצורה נורמטיבית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לתקופה הממושכת בה שהה הנאשם במעצר ולפגיעה של עונש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ראשון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בו ובמשפחתו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הנאשם</w:t>
      </w:r>
      <w:r>
        <w:rPr>
          <w:rFonts w:ascii="Arial" w:hAnsi="Arial" w:cs="Arial"/>
          <w:rtl w:val="true"/>
          <w:lang w:val="en-US" w:eastAsia="en-US"/>
        </w:rPr>
        <w:t xml:space="preserve"> מסר שהוא עצור מזה </w:t>
      </w: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שהוא סבור שהוא שילם את המחיר על מעשיו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שאשתו עובדת ומפרנסת את המשפחה ושילדיו מתגעגעים אליו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הצהיר שלאחר שחרורו מהמאסר הוא מתכוון להעתיק את מקום מגוריו כדי להתרחק מבעיות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דיון והכרעה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סבורני כי מתחם העונש ההולם נע בין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60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</w:t>
      </w:r>
      <w:r>
        <w:rPr>
          <w:rFonts w:ascii="Arial" w:hAnsi="Arial" w:cs="Arial"/>
          <w:rtl w:val="true"/>
          <w:lang w:val="en-US" w:eastAsia="en-US"/>
        </w:rPr>
        <w:t xml:space="preserve">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בקביעת המתחם התחשבתי בערכים המוגנים שנפגעו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במידת הפגיעה בהם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בנסיבות הקשורות בביצוע העבירות ובענישה הנוהגת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הנאשם פגע בערכים המוגנים של שמירה על בטחונו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בריאותו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שלמות גופו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כבודו ושלוותו של אדם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שביצע את המעשים באור יום ובטבורה של עיר באמצעות נשק חם פגע בכך גם בערכים מוגנים של שמירה על שלום הציבור וב</w:t>
      </w:r>
      <w:r>
        <w:rPr>
          <w:rFonts w:ascii="Arial" w:hAnsi="Arial" w:cs="Arial"/>
          <w:rtl w:val="true"/>
          <w:lang w:val="en-US" w:eastAsia="en-US"/>
        </w:rPr>
        <w:t>י</w:t>
      </w:r>
      <w:r>
        <w:rPr>
          <w:rFonts w:ascii="Arial" w:hAnsi="Arial" w:cs="Arial"/>
          <w:rtl w:val="true"/>
          <w:lang w:val="en-US" w:eastAsia="en-US"/>
        </w:rPr>
        <w:t>טחונו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לרבות הגנה על חיי אדם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שמירה על שלטון החוק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הסדר הציבור ותחושת הביטחון האישי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lang w:val="en-US" w:eastAsia="en-US"/>
        </w:rPr>
        <w:t>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בית המשפט העליון התייחס לא אחת לחומרה היתרה של תופעת האלימות הפושה והפוגעת בכל חלקה טובה בחברה בישראל ולצורך בהטלת עונשים מרתיעים כדי להתמודד עם התופעה האמורה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לעניין זה ראו למשל דבריה של השופטת ע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ארבל ב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4173/07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פלוני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16.08.2007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פסקה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start="794" w:end="709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רבות נאמר בבתי המשפט על תופעת האלימות הפושה בחברה הישראלית ועל הצורך של איחוד כוחות של כל הרשויות לצורך מלחמה בתופעה זו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תפקידו של בית המשפט במאבק הוא הטלת עונשים מרתיעים ומשמעותיים על הנוקטים באלימות לפתרון סכסוכים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על מנת להעביר מסר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הן לעבריין האינדיווידואלי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והן לעבריינים הפוטנציאלים ולחברה כולה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כי אין החברה טולרנטית להתנהגויות מעין אלה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כ</w:t>
      </w:r>
      <w:r>
        <w:rPr>
          <w:rFonts w:ascii="Arial" w:hAnsi="Arial" w:cs="Arial"/>
          <w:rtl w:val="true"/>
          <w:lang w:val="en-US" w:eastAsia="en-US"/>
        </w:rPr>
        <w:t>ן ראו ב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4406/19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סובח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5.11.2019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פסקאות </w:t>
      </w:r>
      <w:r>
        <w:rPr>
          <w:rFonts w:cs="Arial" w:ascii="Arial" w:hAnsi="Arial"/>
          <w:lang w:val="en-US" w:eastAsia="en-US"/>
        </w:rPr>
        <w:t>15-17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עניין סובח</w:t>
      </w:r>
      <w:r>
        <w:rPr>
          <w:rFonts w:cs="Arial" w:ascii="Arial" w:hAnsi="Arial"/>
          <w:rtl w:val="true"/>
          <w:lang w:val="en-US" w:eastAsia="en-US"/>
        </w:rPr>
        <w:t>"):</w:t>
      </w:r>
    </w:p>
    <w:p>
      <w:pPr>
        <w:pStyle w:val="Normal"/>
        <w:spacing w:lineRule="auto" w:line="360"/>
        <w:ind w:start="794" w:end="709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b/>
          <w:bCs/>
          <w:rtl w:val="true"/>
          <w:lang w:val="en-US" w:eastAsia="en-US"/>
        </w:rPr>
        <w:t>...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השימוש בנשק חם ככלי ליישוב סכסוכים הפך לרעה חולה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בשנים האחרונות אף חלה עליה מתמדת במספר אירועי הירי המדווחים למשטרה </w:t>
      </w:r>
      <w:r>
        <w:rPr>
          <w:rFonts w:cs="Arial" w:ascii="Arial" w:hAnsi="Arial"/>
          <w:b/>
          <w:bCs/>
          <w:rtl w:val="true"/>
          <w:lang w:val="en-US" w:eastAsia="en-US"/>
        </w:rPr>
        <w:t>...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על רקע המציאות אותה אנו חווים למרבה הצער מדי 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אנו עדים לקריאה ציבורית נרגשת להגברת האכיפה כלפי עבירות נשק – ולהחמרה במדיניות הענישה הנוהגת</w:t>
      </w:r>
      <w:r>
        <w:rPr>
          <w:rFonts w:cs="Arial" w:ascii="Arial" w:hAnsi="Arial"/>
          <w:b/>
          <w:bCs/>
          <w:rtl w:val="true"/>
          <w:lang w:val="en-US" w:eastAsia="en-US"/>
        </w:rPr>
        <w:t>...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הצורך במדיניות ענישה מחמירה נחוץ במיוחד כאשר השימוש בנשק גורר פגיעה בגוף ובנפש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וכאשר מבצעי העבירות אינם מוסרים את כלי הנשק לידי רשויות החוק – ובכך מוסיפים לפגוע בביטחון הציבור וקיים חשש תמידי לשימוש עברייני חוזר בנשק זה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כמו גם להגעתו של נשק זה לגורמים עויינים ובכללם גורמי טרור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7473/20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מחאמיד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lang w:val="en-US" w:eastAsia="en-US"/>
        </w:rPr>
        <w:t>29.6.2021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התייחס בית המשפט העליון לחומרה הגלומה בהחזקה לא חוקית של נשק במנותק מעבירות האלימות המבוצעות באמצעות אותו נשק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start="794" w:end="709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בית משפט זה שב וחוזר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חדשות לבקרים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על החומרה היתרה הטמונה בביצוע עבירות נשק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עבירות שהפכו למכת מדינה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שגלומה בה סכנה ממשית לשלום הציבור ולביטחונו כמו גם לסדר הציבורי ואשר מצריכה הטלת עונשים מרתיעים ומשמעותיים המשקפים מסר מרתיע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...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אף בנפרד מהחומרה המופלגת של מעשה החבלה בכוונה מחמירה שביצע המערער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הרי שהוא הורשע בעבירות נשק חמורות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בנסיבות חמורות כשלעצמן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עצם החזקת הנשק שלא כדין על ידי המערער מהווה איום על שלום הציבור ועל הסדר הציבורי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כפי שצוין בעבר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החזקת נשק מהווה תשתית</w:t>
      </w:r>
      <w:r>
        <w:rPr>
          <w:rFonts w:cs="Arial" w:ascii="Arial" w:hAnsi="Arial"/>
          <w:b/>
          <w:bCs/>
          <w:rtl w:val="true"/>
          <w:lang w:val="en-US" w:eastAsia="en-US"/>
        </w:rPr>
        <w:t>,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גורם בלתו איין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",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למגוון רחב של עבירות – בהן גם עבירת החבלה בכוונה מחמירה אותה ביצע המערער בסופו של יום</w:t>
      </w:r>
      <w:r>
        <w:rPr>
          <w:rFonts w:cs="Arial" w:ascii="Arial" w:hAnsi="Arial"/>
          <w:b/>
          <w:bCs/>
          <w:rtl w:val="true"/>
          <w:lang w:val="en-US" w:eastAsia="en-US"/>
        </w:rPr>
        <w:t>..."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מידת הפגיעה בערכים המוגנים בענייננו היא משמעותית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אין לקבל את הקלות הבלתי נתפסת של שימוש באלימות וירי בנשק חם לפתרון סכסוכים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 שהפך לתופעה רחבה וכואבת בעיקר בחברה הערבית ואשר אף גובה לא אחת מחירים בגוף ובנפש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בענייננו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ביו הנאשם ואחיו לבין המתלוננים התגלע ויכוח על רקע סכסוך קיים בשאלת בעלות על חלקת אדמה הסמוכה לבתיהם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לאחר שעזבו את המקום שב הנאשם כשהוא נוהג ברכבו אל המקום יחד עם אחיו ובנו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כשהם מצוידים בנשק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במהלך הנסיעה אחיו של הנאשם הוציא את הנשק מחלון שליד הנהג והחל לירות באוויר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והמשיך לירות באוויר ולכוון הקרקע גם לאחר שירד מהרכב שנעצר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גם הנאשם בעצמו ירד מהרכב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בהמשך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כשאחד המתלוננים ניגש לעזור למתלונן אחר שנפל לקרקע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או מי מבני משפחתו היכו אותו בבעיטות במוטות ברזל ובמקלות ורק בעקבות התערבות אשת הנאשם הסתיים האירוע ללא אבדות בנפש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אם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אך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בפציעה מירי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לצד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לתת את הדעת לכך שלא נטען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וממילא לא הוכח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שהנאשם עצמו ירה בנשק ואף לא הוכח שהנאשם עצמו הכה את מתלונן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שהרי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פי עובדה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לכתב האישום נותר ספק בשאלה האם היה זה הנאשם או מי מבני משפחתו שהכו את מתלונן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ומספק זה זכאי ליהנות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עבירת הפציעה בנסיבות מחמירות יוחסה אפוא לנאשם מכח ביצוע בצוותא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באשר לנסיבות הקשורות בביצוע העבירות נתתי משקל ל</w:t>
      </w:r>
      <w:r>
        <w:rPr>
          <w:rFonts w:ascii="Arial" w:hAnsi="Arial" w:cs="Arial"/>
          <w:rtl w:val="true"/>
          <w:lang w:val="en-US" w:eastAsia="en-US"/>
        </w:rPr>
        <w:t>תכנון שקדם לביצוע העבירות לרבות החזרה למקום האירוע עם רכב וההצטיידות בנשק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לשימוש שנעשה בנשק חם ובנשק קר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מוטות ברזל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מקלות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במהלך האירוע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לכך שאין מדובר בהובלת נשק ש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רק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היה מונח ברכב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אם בהובלת נשק שנעשה בו שימוש לצורך ירי מתוך הרכב כשהנאשם הוא זה שנוהג ברכב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לכך שמדובר בנשק שהוחזק באופן לא חוקי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לנזק שנגרם לשני המתלוננים ולעובדה שאף שהירי כוון לאוויר ולקרקע מתלונן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נפגע כתוצאה ממנו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לנזק הפיזי והנפשי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רגשי שנגרם למתלונ</w:t>
      </w:r>
      <w:r>
        <w:rPr>
          <w:rFonts w:ascii="Arial" w:hAnsi="Arial" w:cs="Arial"/>
          <w:rtl w:val="true"/>
          <w:lang w:val="en-US" w:eastAsia="en-US"/>
        </w:rPr>
        <w:t>נים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לנזק שעלול היה להיגרם למתלונ</w:t>
      </w:r>
      <w:r>
        <w:rPr>
          <w:rFonts w:ascii="Arial" w:hAnsi="Arial" w:cs="Arial"/>
          <w:rtl w:val="true"/>
          <w:lang w:val="en-US" w:eastAsia="en-US"/>
        </w:rPr>
        <w:t>נים</w:t>
      </w:r>
      <w:r>
        <w:rPr>
          <w:rFonts w:ascii="Arial" w:hAnsi="Arial" w:cs="Arial"/>
          <w:rtl w:val="true"/>
          <w:lang w:val="en-US" w:eastAsia="en-US"/>
        </w:rPr>
        <w:t xml:space="preserve"> ולציבור נוכח השימוש בנשק חם </w:t>
      </w:r>
      <w:r>
        <w:rPr>
          <w:rFonts w:ascii="Arial" w:hAnsi="Arial" w:cs="Arial"/>
          <w:rtl w:val="true"/>
          <w:lang w:val="en-US" w:eastAsia="en-US"/>
        </w:rPr>
        <w:t>באופן בלתי מבוקר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לעיתוי התקיפה ומיקומה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בצהרי היום</w:t>
      </w:r>
      <w:r>
        <w:rPr>
          <w:rFonts w:ascii="Arial" w:hAnsi="Arial" w:cs="Arial"/>
          <w:rtl w:val="true"/>
          <w:lang w:val="en-US" w:eastAsia="en-US"/>
        </w:rPr>
        <w:t xml:space="preserve"> בסמוך למקום מגורים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לסיבה שבעטיה בוצעו העבירות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ascii="Arial" w:hAnsi="Arial" w:cs="Arial"/>
          <w:rtl w:val="true"/>
          <w:lang w:val="en-US" w:eastAsia="en-US"/>
        </w:rPr>
        <w:t>חלקו של הנאשם שאף שלא השתתף בירי עצמו הגיע אל המקום כשהוא נוהג עם רכבו תוך שהוא מערב את בנו אחיו שהגיעו מצוידים בנשק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לתעוזה ול</w:t>
      </w:r>
      <w:r>
        <w:rPr>
          <w:rFonts w:ascii="Arial" w:hAnsi="Arial" w:cs="Arial"/>
          <w:rtl w:val="true"/>
          <w:lang w:val="en-US" w:eastAsia="en-US"/>
        </w:rPr>
        <w:t xml:space="preserve">נגישות </w:t>
      </w:r>
      <w:r>
        <w:rPr>
          <w:rFonts w:ascii="Arial" w:hAnsi="Arial" w:cs="Arial"/>
          <w:rtl w:val="true"/>
          <w:lang w:val="en-US" w:eastAsia="en-US"/>
        </w:rPr>
        <w:t xml:space="preserve">וזמינות של </w:t>
      </w:r>
      <w:r>
        <w:rPr>
          <w:rFonts w:ascii="Arial" w:hAnsi="Arial" w:cs="Arial"/>
          <w:rtl w:val="true"/>
          <w:lang w:val="en-US" w:eastAsia="en-US"/>
        </w:rPr>
        <w:t>נשק חם לא חוקי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ascii="Arial" w:hAnsi="Arial" w:cs="Arial"/>
          <w:rtl w:val="true"/>
          <w:lang w:val="en-US" w:eastAsia="en-US"/>
        </w:rPr>
        <w:t>כך</w:t>
      </w:r>
      <w:r>
        <w:rPr>
          <w:rFonts w:ascii="Arial" w:hAnsi="Arial" w:cs="Arial"/>
          <w:rtl w:val="true"/>
          <w:lang w:val="en-US" w:eastAsia="en-US"/>
        </w:rPr>
        <w:t xml:space="preserve"> שהעבירות בוצעו תוך חבירה לשניים אחרים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ביניהם בנו של הנאשם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ascii="Arial" w:hAnsi="Arial" w:cs="Arial"/>
          <w:rtl w:val="true"/>
          <w:lang w:val="en-US" w:eastAsia="en-US"/>
        </w:rPr>
        <w:t>היו מזוינים בכלי נשק</w:t>
      </w:r>
      <w:r>
        <w:rPr>
          <w:rFonts w:ascii="Arial" w:hAnsi="Arial" w:cs="Arial"/>
          <w:rtl w:val="true"/>
          <w:lang w:val="en-US" w:eastAsia="en-US"/>
        </w:rPr>
        <w:t xml:space="preserve"> ולעובדה שהנאשם לא בחר לעצור את האירוע חרף ההזדמנויות שהיו לו לכך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חזר עם הרכב לאחר הויכוח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 xml:space="preserve">עובדה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לא עצר הירי שהחל בתוך הרכב שבו נהג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 xml:space="preserve">עובדה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לא עצר הירי ומעשי האלימות שבהמשך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עובדות </w:t>
      </w:r>
      <w:r>
        <w:rPr>
          <w:rFonts w:cs="Arial" w:ascii="Arial" w:hAnsi="Arial"/>
          <w:lang w:val="en-US" w:eastAsia="en-US"/>
        </w:rPr>
        <w:t>6,9-10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למען הסר ספק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מדובר רק בהתנהגות פאסיבית של הנאשם שלא מנע פשע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אם מעורבות אקטיבית של הובלת ונשיאת הנשק ואף של הפציעה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אף אם זאת מכוח הביצוע בצוותא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לצד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נתתי כאמור משקל לכך שלא נטען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וממילא לא הוכח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שהנאשם עצמו ירה בנשק ואף לא הוכח שהנאשם עצמו הכה את מתלונן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שהרי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פי עובדה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לכתב האישום נותר ספק בשאלה האם היה זה הנאשם או מי מבני משפחתו שהכו את מתלונן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ומספק זה זכאי ליהנות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הגם שכך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סבורני שלא ניתן להתייחס אל העבירות שעבר הנאשם באופן מלאכותי ובמנותק מנסיבות האירוע בכללותו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מנעד הענישה בעבירות אלימות</w:t>
      </w:r>
      <w:r>
        <w:rPr>
          <w:rFonts w:ascii="Arial" w:hAnsi="Arial" w:cs="Arial"/>
          <w:rtl w:val="true"/>
          <w:lang w:val="en-US" w:eastAsia="en-US"/>
        </w:rPr>
        <w:t xml:space="preserve"> ונשק</w:t>
      </w:r>
      <w:r>
        <w:rPr>
          <w:rFonts w:ascii="Arial" w:hAnsi="Arial" w:cs="Arial"/>
          <w:rtl w:val="true"/>
          <w:lang w:val="en-US" w:eastAsia="en-US"/>
        </w:rPr>
        <w:t xml:space="preserve"> הוא רחב והוא תלוי נסיבות 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עושה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לרבות גילו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עברו הפלילי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השתלבותו בהליך טיפולי ומידת ההצלחה בהליך זה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ובעיקר</w:t>
      </w:r>
      <w:r>
        <w:rPr>
          <w:rFonts w:ascii="Arial" w:hAnsi="Arial" w:cs="Arial"/>
          <w:rtl w:val="true"/>
          <w:lang w:val="en-US" w:eastAsia="en-US"/>
        </w:rPr>
        <w:t xml:space="preserve"> בנסיבות 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מעשה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 xml:space="preserve">לרבות אופי </w:t>
      </w:r>
      <w:r>
        <w:rPr>
          <w:rFonts w:ascii="Arial" w:hAnsi="Arial" w:cs="Arial"/>
          <w:rtl w:val="true"/>
          <w:lang w:val="en-US" w:eastAsia="en-US"/>
        </w:rPr>
        <w:t xml:space="preserve">והיקף </w:t>
      </w:r>
      <w:r>
        <w:rPr>
          <w:rFonts w:ascii="Arial" w:hAnsi="Arial" w:cs="Arial"/>
          <w:rtl w:val="true"/>
          <w:lang w:val="en-US" w:eastAsia="en-US"/>
        </w:rPr>
        <w:t>האלימות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האם נעשה שימוש בכלי נשק חם או קר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האם מדובר באירוע מתוכנן או ספונטני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האם קדמה לכך התגרות מצד המותקף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הנזק הגופני והנפשי שנגרם וכיוצ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 נסיבות המשפיעות על חומרת האירוע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7703/19</w:t>
        </w:r>
      </w:hyperlink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cs="Arial" w:ascii="Arial" w:hAnsi="Arial"/>
          <w:lang w:val="en-US" w:eastAsia="en-US"/>
        </w:rPr>
        <w:t>8020/19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פלוני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6.8.2020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בית המשפט העליון דחה את ערעורם של הנאשמים שהורשעו בעבירות של החזקה ונשיאת נשק וניסיון לפציעה בנסיבות מחמירות והותיר על כנם עונשים של </w:t>
      </w:r>
      <w:r>
        <w:rPr>
          <w:rFonts w:cs="Arial" w:ascii="Arial" w:hAnsi="Arial"/>
          <w:lang w:val="en-US" w:eastAsia="en-US"/>
        </w:rPr>
        <w:t>4.5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שכללו הפעלה של מאסר מותנה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חלקו במצטבר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ראוי לציין כי נסיבות אותו מקרה חמורות מענייננו באשר שם ששה מבני משפחת הנאשמים ירו אל עבר משפחה אחרת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שמי מבניה ירה קודם לכן בבן משפחת הנאשמים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באמצעות ששה כלי ירייה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לרבות שני תתי מקלע מאולתרים וכתוצאה מהירי נהרגה אשה כבת </w:t>
      </w:r>
      <w:r>
        <w:rPr>
          <w:rFonts w:cs="Arial" w:ascii="Arial" w:hAnsi="Arial"/>
          <w:lang w:val="en-US" w:eastAsia="en-US"/>
        </w:rPr>
        <w:t>70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ובנה נפצע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2918/13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דבס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18.7.2013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דחה בית המשפט העליון את ערעורם של נאשמים שהורשעו בעבירות של החזקת נשק ותחמושת וחבלה ופציעה בנסיבות מחמירות והותיר על כנו עונש של </w:t>
      </w:r>
      <w:r>
        <w:rPr>
          <w:rFonts w:cs="Arial" w:ascii="Arial" w:hAnsi="Arial"/>
          <w:lang w:val="en-US" w:eastAsia="en-US"/>
        </w:rPr>
        <w:t>50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על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על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שהורשע בחלק מהעבירות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גם כאן בוצע ירי באזור הומה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באמצע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רקע סכסוך קודם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1843/19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עמאש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2.10.2019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דחה בית המשפט העליון את ערעורו של נאשם ללא עבר פלילי שהורשע בעבירות של חבלה חמורה בנסיבות מחמירות והחזקת ונשיאת נשק לאחר שזה חזר בו בהמלצת בית המשפט העליון מערעורו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בית המשפט המחוזי גזר  על הנאשם עונש של </w:t>
      </w:r>
      <w:r>
        <w:rPr>
          <w:rFonts w:cs="Arial" w:ascii="Arial" w:hAnsi="Arial"/>
          <w:lang w:val="en-US" w:eastAsia="en-US"/>
        </w:rPr>
        <w:t>4.5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במקרה זה ירה הנאשם מספר כדורים לעבר אדם איתו היה מסוכסך ופגע בידו של ילד בן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שעמד בסמוך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1244/15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אבו עאמר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18.04.16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קיבל בית המשפט העליון את ערעור הנאשם שהורשע בעבירה של ניסיון לחבלה חמורה בנסיבות מחמירות ועבירה של החזקת נשק והפחית את עונשו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חלף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שגזר עליו בית המשפט המחוזי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במקרה זה הנאשם ירה מספר יריות לעבר דלת הרכב בו ישבו המתלונן ובנו אך איש מהם לא נפגע בעקבות סכסוך על שימוש בספסל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במקרה זה בשונה מענייננו הורשע הנאשם בעביר</w:t>
      </w:r>
      <w:r>
        <w:rPr>
          <w:rFonts w:ascii="Arial" w:hAnsi="Arial" w:cs="Arial"/>
          <w:rtl w:val="true"/>
          <w:lang w:val="en-US" w:eastAsia="en-US"/>
        </w:rPr>
        <w:t xml:space="preserve">ת </w:t>
      </w:r>
      <w:r>
        <w:rPr>
          <w:rFonts w:ascii="Arial" w:hAnsi="Arial" w:cs="Arial"/>
          <w:rtl w:val="true"/>
          <w:lang w:val="en-US" w:eastAsia="en-US"/>
        </w:rPr>
        <w:t>ניסיון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1971/19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אבו חוסיין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30.6.2019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מחק בית המשפט העליון את ערעורו של נאשם נעדר עבר פלילי שהורשע בעבירות של חבלה חמורה בנסיבות מחמירות ונשיאת נשק והובלתו שלא כדין לבקשתו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בית המשפט המחוזי גזר על הנאשם עונש של </w:t>
      </w:r>
      <w:r>
        <w:rPr>
          <w:rFonts w:cs="Arial" w:ascii="Arial" w:hAnsi="Arial"/>
          <w:lang w:val="en-US" w:eastAsia="en-US"/>
        </w:rPr>
        <w:t>42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במקרה זה ירה הנאשם על רקע סכסוך כספי מספר כדורים לעבר המתלונן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פגע בו בירך וגרם לו למספר פגיעות</w:t>
      </w:r>
      <w:r>
        <w:rPr>
          <w:rFonts w:cs="Arial" w:ascii="Arial" w:hAnsi="Arial"/>
          <w:rtl w:val="true"/>
          <w:lang w:val="en-US" w:eastAsia="en-US"/>
        </w:rPr>
        <w:t xml:space="preserve">.  </w:t>
      </w:r>
      <w:r>
        <w:rPr>
          <w:rFonts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David" w:hAnsi="David"/>
          <w:rtl w:val="true"/>
          <w:lang w:val="en-US" w:eastAsia="en-US"/>
        </w:rPr>
        <w:t>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4119/14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הנבוזי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בנבו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cs="David" w:ascii="David" w:hAnsi="David"/>
          <w:lang w:val="en-US" w:eastAsia="en-US"/>
        </w:rPr>
        <w:t>21.09.14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 xml:space="preserve">בית המשפט העליון דחה את ערעור המאשימה ואת ערעור הנאשם שהורשע בעבירות של </w:t>
      </w:r>
      <w:r>
        <w:rPr>
          <w:rFonts w:ascii="David" w:hAnsi="David"/>
          <w:rtl w:val="true"/>
          <w:lang w:val="en-US" w:eastAsia="en-US"/>
        </w:rPr>
        <w:t>חבלה חמורה בנסיבות מחמירות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נשיאת והובלת נשק וירי באזור מגורים</w:t>
      </w:r>
      <w:r>
        <w:rPr>
          <w:rFonts w:ascii="David" w:hAnsi="David"/>
          <w:rtl w:val="true"/>
          <w:lang w:val="en-US" w:eastAsia="en-US"/>
        </w:rPr>
        <w:t xml:space="preserve"> והותיר על כנו עונש של </w:t>
      </w:r>
      <w:r>
        <w:rPr>
          <w:rFonts w:cs="David" w:ascii="David" w:hAnsi="David"/>
          <w:lang w:val="en-US" w:eastAsia="en-US"/>
        </w:rPr>
        <w:t>36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הרקע לירי הוא סכסוך בין משפחת המערער למשפחה אחרת וסכסוך אישי בין המערער לאחד מבני המשפחה היריבה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במקרה זה הנאשם ירה בעצמו באקדח ופצע שלושה אנשים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אם כי צוין כי זה עשה כן לאחר שחש מאוים מאחר שהחזיק חפץ שנחזה כאקדח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5717/14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גדבאן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cs="Arial" w:ascii="Arial" w:hAnsi="Arial"/>
          <w:lang w:val="en-US" w:eastAsia="en-US"/>
        </w:rPr>
        <w:t>2.12.2014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קיבל בית המשפט העליון את ערעור המאשימה על קולת העונש שנגזר על נאשם שהורשע בעבירות של חבלה חמורה בנסיבות מחמירות ונשיאת והובלת נשק וגזר עליו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חלף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שגזר עליו בית המשפט המחוזי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במקרה זה ירה הנאשם במתלונן על רקע חשדו של שהמתלונן פגע בשמו הטוב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שתי יריות כשקליע אחד פגע ברגלו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b/>
          <w:bCs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עיינתי בפסיקה ש</w:t>
      </w:r>
      <w:r>
        <w:rPr>
          <w:rFonts w:ascii="Arial" w:hAnsi="Arial" w:cs="Arial"/>
          <w:rtl w:val="true"/>
          <w:lang w:val="en-US" w:eastAsia="en-US"/>
        </w:rPr>
        <w:t xml:space="preserve">אליה הפנתה </w:t>
      </w:r>
      <w:r>
        <w:rPr>
          <w:rFonts w:ascii="Arial" w:hAnsi="Arial" w:cs="Arial"/>
          <w:rtl w:val="true"/>
          <w:lang w:val="en-US" w:eastAsia="en-US"/>
        </w:rPr>
        <w:t xml:space="preserve"> המאשימה</w:t>
      </w:r>
      <w:r>
        <w:rPr>
          <w:rFonts w:ascii="Arial" w:hAnsi="Arial" w:cs="Arial"/>
          <w:rtl w:val="true"/>
          <w:lang w:val="en-US" w:eastAsia="en-US"/>
        </w:rPr>
        <w:t xml:space="preserve"> בטיעוניה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בין היתר זו הפנתה ל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ab/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9306/20</w:t>
        </w:r>
      </w:hyperlink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ברגות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מדינת ישראל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29.4.2021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במסגרתו נדחה ערעור הנאשם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על הכרעת הדין ועל גזר הדין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שנדון לעונש של </w:t>
      </w:r>
      <w:r>
        <w:rPr>
          <w:rFonts w:cs="Arial" w:ascii="Arial" w:hAnsi="Arial"/>
          <w:lang w:val="en-US" w:eastAsia="en-US"/>
        </w:rPr>
        <w:t>42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לאחר שהורשע בביצוע עבירות של גרימת חבלה חמורה בנסיבות מחמירות</w:t>
      </w:r>
      <w:r>
        <w:rPr>
          <w:rFonts w:ascii="Arial" w:hAnsi="Arial" w:cs="Arial"/>
          <w:rtl w:val="true"/>
          <w:lang w:val="en-US" w:eastAsia="en-US"/>
        </w:rPr>
        <w:t xml:space="preserve"> ו</w:t>
      </w:r>
      <w:r>
        <w:rPr>
          <w:rFonts w:ascii="Arial" w:hAnsi="Arial" w:cs="Arial"/>
          <w:rtl w:val="true"/>
          <w:lang w:val="en-US" w:eastAsia="en-US"/>
        </w:rPr>
        <w:t>נשיאה והחזקה של 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במקרה זה הנאשם שירד מרכב נוסע ירה תחילה באוויר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מכן ירה לעבר המתלונן ובהמשך כששב לרכב ירה פעם נוספת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המתלונן נפגע מרסיסי הקליע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בית המשפט העליון קבע שהעונש נוטה מאוד לקולא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אף נסיבות אישיות לא פשוטות והעדר עבר פלילי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יצוין כי גם במקרה זה אחריות הנאשם לירי נעשתה למצער מכח ביצוע בצוותא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6277/20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היילי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24.3.2021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בו דחה בית המשפט העליון את ערעורו של נאשם שהורשע בעבירות של תקיפה הגורמת חבלה של ממש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הטרדת עד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הובלה ונשיאת נשק וירי באזור מגורים והותיר על כנו עונש של </w:t>
      </w:r>
      <w:r>
        <w:rPr>
          <w:rFonts w:cs="Arial" w:ascii="Arial" w:hAnsi="Arial"/>
          <w:lang w:val="en-US" w:eastAsia="en-US"/>
        </w:rPr>
        <w:t>50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יצוין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החומרה הייחודית שהייתה קיימת באותו מקרה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זו הקשורה בביצוע העבירות על רקע הטרדה של עד תביעה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מתקיימת בענייננו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יצוין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לא הפנה או צרף פסיקה לטיעוניו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 מצאתי לחרוג בענייננו ממתחם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וביחס לנסיבות שאינן קשורות בביצוע העבירות נתתי דעתי להודאת הנאשם שיש בה משום קבלת אחריות וחיסכון בזמן שיפוטי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הגם שזו לא ניתנה בהזדמנות הראשונה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לכך שהנאשם ניהל עד לאירוע אורח חיים נורמטיבי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לכך שהנאשם נעדר עבר פלילי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ולפגיעה של עונש מאסר ראשון אותו ירצה הנאשם ב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ascii="Arial" w:hAnsi="Arial" w:cs="Arial"/>
          <w:rtl w:val="true"/>
          <w:lang w:val="en-US" w:eastAsia="en-US"/>
        </w:rPr>
        <w:t>ובמשפחתו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נתתי משקל גם לנסיבותיו האישיות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משפחתיות של הנאשם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בעניינו של הנאשם התקבל כאמור תסקיר </w:t>
      </w:r>
      <w:r>
        <w:rPr>
          <w:rFonts w:ascii="Arial" w:hAnsi="Arial" w:cs="Arial"/>
          <w:rtl w:val="true"/>
          <w:lang w:val="en-US" w:eastAsia="en-US"/>
        </w:rPr>
        <w:t>לעניין העונש</w:t>
      </w:r>
      <w:r>
        <w:rPr>
          <w:rFonts w:ascii="Arial" w:hAnsi="Arial" w:cs="Arial"/>
          <w:rtl w:val="true"/>
          <w:lang w:val="en-US" w:eastAsia="en-US"/>
        </w:rPr>
        <w:t xml:space="preserve"> במסגרתו</w:t>
      </w:r>
      <w:r>
        <w:rPr>
          <w:rFonts w:ascii="Arial" w:hAnsi="Arial" w:cs="Arial"/>
          <w:rtl w:val="true"/>
          <w:lang w:val="en-US" w:eastAsia="en-US"/>
        </w:rPr>
        <w:t xml:space="preserve"> עמד שירות המבחן על מסוכנותו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לרבות בזיקה לסכסוך שטרם הסתיים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ועל כך שזה ביקש לצמצם את אחריותו לאירוע ולהטילה על אחרים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שירות המבחן </w:t>
      </w:r>
      <w:r>
        <w:rPr>
          <w:rFonts w:ascii="Arial" w:hAnsi="Arial" w:cs="Arial"/>
          <w:rtl w:val="true"/>
          <w:lang w:val="en-US" w:eastAsia="en-US"/>
        </w:rPr>
        <w:t xml:space="preserve">נמנע </w:t>
      </w:r>
      <w:r>
        <w:rPr>
          <w:rFonts w:ascii="Arial" w:hAnsi="Arial" w:cs="Arial"/>
          <w:rtl w:val="true"/>
          <w:lang w:val="en-US" w:eastAsia="en-US"/>
        </w:rPr>
        <w:t>מלהמליץ על הליך טיפולי והמליץ על הטלת עונש מוחשי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בשים לב להתרשמות זו של שירות המבחן ולנסיבות ביצוע העבירות נראה כי יש מקום לתת ביטוי בענישה גם לשיקולי הרתעת היחיד</w:t>
      </w:r>
      <w:r>
        <w:rPr>
          <w:rFonts w:ascii="Arial" w:hAnsi="Arial" w:cs="Arial"/>
          <w:rtl w:val="true"/>
          <w:lang w:val="en-US" w:eastAsia="en-US"/>
        </w:rPr>
        <w:t xml:space="preserve"> כמו גם </w:t>
      </w:r>
      <w:r>
        <w:rPr>
          <w:rFonts w:ascii="Arial" w:hAnsi="Arial" w:cs="Arial"/>
          <w:rtl w:val="true"/>
          <w:lang w:val="en-US" w:eastAsia="en-US"/>
        </w:rPr>
        <w:t>לשיקולי הרתעת הרבים</w:t>
      </w:r>
      <w:r>
        <w:rPr>
          <w:rFonts w:ascii="Arial" w:hAnsi="Arial" w:cs="Arial"/>
          <w:rtl w:val="true"/>
          <w:lang w:val="en-US" w:eastAsia="en-US"/>
        </w:rPr>
        <w:t xml:space="preserve"> היפים לגזרה זו של עבירות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 למותר לציין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לא מצאתי ממש בטענות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ביחס לטיב התקשורת שהייתה בין הנאשם לקצין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זאת הן לנוכח הבהרת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מלכתחילה שאין צורך בקצין מבחן דובר השפה הערבית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והן לנוכח התרשמותי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לרבות בדבריו האחרונים של הנאשם לעונש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שהנאשם שולט בשפה העברית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לאור כל האמור לעיל אני גוזר על הנאשם את העונשים הבאים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cs="Arial" w:ascii="Arial" w:hAnsi="Arial"/>
          <w:lang w:val="en-US" w:eastAsia="en-US"/>
        </w:rPr>
        <w:t>36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בניכוי ימי מעצרו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על תנאי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מיום השחרור מן המאסר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ascii="Arial" w:hAnsi="Arial" w:cs="Arial"/>
          <w:rtl w:val="true"/>
          <w:lang w:val="en-US" w:eastAsia="en-US"/>
        </w:rPr>
        <w:t xml:space="preserve">לא לעבור עבירת    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             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אלימות מסוג פשע או עבירת 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  <w:tab/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על תנאי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מיום השחרור מן המאסר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ascii="Arial" w:hAnsi="Arial" w:cs="Arial"/>
          <w:rtl w:val="true"/>
          <w:lang w:val="en-US" w:eastAsia="en-US"/>
        </w:rPr>
        <w:t xml:space="preserve">לא לעבור עבירת 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אלימות מסוג עוון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rtl w:val="true"/>
          <w:lang w:val="en-US" w:eastAsia="en-US"/>
        </w:rPr>
        <w:t>פיצוי למתלו</w:t>
      </w:r>
      <w:r>
        <w:rPr>
          <w:rFonts w:ascii="Arial" w:hAnsi="Arial" w:cs="Arial"/>
          <w:rtl w:val="true"/>
          <w:lang w:val="en-US" w:eastAsia="en-US"/>
        </w:rPr>
        <w:t xml:space="preserve">נן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–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ascii="Arial" w:hAnsi="Arial" w:cs="Arial"/>
          <w:rtl w:val="true"/>
          <w:lang w:val="en-US" w:eastAsia="en-US"/>
        </w:rPr>
        <w:t xml:space="preserve">ת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בסך של </w:t>
      </w:r>
      <w:r>
        <w:rPr>
          <w:rFonts w:cs="Arial" w:ascii="Arial" w:hAnsi="Arial"/>
          <w:lang w:val="en-US" w:eastAsia="en-US"/>
        </w:rPr>
        <w:t>5,000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₪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ascii="Arial" w:hAnsi="Arial" w:cs="Arial"/>
          <w:rtl w:val="true"/>
          <w:lang w:val="en-US" w:eastAsia="en-US"/>
        </w:rPr>
        <w:t>למתלו</w:t>
      </w:r>
      <w:r>
        <w:rPr>
          <w:rFonts w:ascii="Arial" w:hAnsi="Arial" w:cs="Arial"/>
          <w:rtl w:val="true"/>
          <w:lang w:val="en-US" w:eastAsia="en-US"/>
        </w:rPr>
        <w:t xml:space="preserve">נן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–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ascii="Arial" w:hAnsi="Arial" w:cs="Arial"/>
          <w:rtl w:val="true"/>
          <w:lang w:val="en-US" w:eastAsia="en-US"/>
        </w:rPr>
        <w:t xml:space="preserve">ת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בסך של </w:t>
      </w:r>
      <w:r>
        <w:rPr>
          <w:rFonts w:cs="Arial" w:ascii="Arial" w:hAnsi="Arial"/>
          <w:lang w:val="en-US" w:eastAsia="en-US"/>
        </w:rPr>
        <w:t>3,000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₪.</w:t>
      </w:r>
    </w:p>
    <w:p>
      <w:pPr>
        <w:pStyle w:val="Normal"/>
        <w:spacing w:lineRule="auto" w:line="360"/>
        <w:ind w:firstLine="635" w:start="85" w:end="0"/>
        <w:jc w:val="both"/>
        <w:rPr/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  <w:r>
        <w:rPr>
          <w:rFonts w:ascii="Arial" w:hAnsi="Arial" w:cs="Arial"/>
          <w:rtl w:val="true"/>
          <w:lang w:val="en-US" w:eastAsia="en-US"/>
        </w:rPr>
        <w:t>הפיצוי</w:t>
      </w:r>
      <w:r>
        <w:rPr>
          <w:rFonts w:ascii="Arial" w:hAnsi="Arial" w:cs="Arial"/>
          <w:rtl w:val="true"/>
          <w:lang w:val="en-US" w:eastAsia="en-US"/>
        </w:rPr>
        <w:t>ים</w:t>
      </w:r>
      <w:r>
        <w:rPr>
          <w:rFonts w:ascii="Arial" w:hAnsi="Arial" w:cs="Arial"/>
          <w:rtl w:val="true"/>
          <w:lang w:val="en-US" w:eastAsia="en-US"/>
        </w:rPr>
        <w:t xml:space="preserve"> ישול</w:t>
      </w:r>
      <w:r>
        <w:rPr>
          <w:rFonts w:ascii="Arial" w:hAnsi="Arial" w:cs="Arial"/>
          <w:rtl w:val="true"/>
          <w:lang w:val="en-US" w:eastAsia="en-US"/>
        </w:rPr>
        <w:t>מו</w:t>
      </w:r>
      <w:r>
        <w:rPr>
          <w:rFonts w:ascii="Arial" w:hAnsi="Arial" w:cs="Arial"/>
          <w:rtl w:val="true"/>
          <w:lang w:val="en-US" w:eastAsia="en-US"/>
        </w:rPr>
        <w:t xml:space="preserve"> בתוך 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חודשים </w:t>
      </w:r>
      <w:r>
        <w:rPr>
          <w:rFonts w:ascii="Arial" w:hAnsi="Arial" w:cs="Arial"/>
          <w:rtl w:val="true"/>
          <w:lang w:val="en-US" w:eastAsia="en-US"/>
        </w:rPr>
        <w:t>מהיום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זכות ערעור לבית המשפט העליון בתוך </w:t>
      </w:r>
      <w:r>
        <w:rPr>
          <w:rFonts w:cs="Arial" w:ascii="Arial" w:hAnsi="Arial"/>
          <w:b/>
          <w:bCs/>
          <w:lang w:val="en-US" w:eastAsia="en-US"/>
        </w:rPr>
        <w:t>45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start="5040" w:end="0"/>
        <w:jc w:val="start"/>
        <w:rPr/>
      </w:pPr>
      <w:bookmarkStart w:id="12" w:name="Nitan"/>
      <w:r>
        <w:rPr>
          <w:rFonts w:ascii="Arial" w:hAnsi="Arial" w:cs="Arial"/>
          <w:rtl w:val="true"/>
          <w:lang w:val="en-US" w:eastAsia="en-US"/>
        </w:rPr>
        <w:t>ניתן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תמוז תשפ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יוני </w:t>
      </w:r>
      <w:r>
        <w:rPr>
          <w:rFonts w:cs="Arial" w:ascii="Arial" w:hAnsi="Arial"/>
          <w:lang w:val="en-US" w:eastAsia="en-US"/>
        </w:rPr>
        <w:t>2022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bookmarkEnd w:id="12"/>
      <w:r>
        <w:rPr>
          <w:rtl w:val="true"/>
        </w:rPr>
        <w:t xml:space="preserve">     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start"/>
        <w:rPr/>
      </w:pPr>
      <w:r>
        <w:rPr>
          <w:rtl w:val="true"/>
        </w:rPr>
        <w:tab/>
        <w:tab/>
        <w:tab/>
        <w:tab/>
        <w:t xml:space="preserve">        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יובל ליבדרו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11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5683-04-21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יוסף דבסאן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264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34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/335.a.2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334" TargetMode="External"/><Relationship Id="rId10" Type="http://schemas.openxmlformats.org/officeDocument/2006/relationships/hyperlink" Target="http://www.nevo.co.il/law/70301/335.a.1" TargetMode="External"/><Relationship Id="rId11" Type="http://schemas.openxmlformats.org/officeDocument/2006/relationships/hyperlink" Target="http://www.nevo.co.il/law/70301/335.a.2" TargetMode="External"/><Relationship Id="rId12" Type="http://schemas.openxmlformats.org/officeDocument/2006/relationships/hyperlink" Target="http://www.nevo.co.il/law/70301/29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637380" TargetMode="External"/><Relationship Id="rId15" Type="http://schemas.openxmlformats.org/officeDocument/2006/relationships/hyperlink" Target="http://www.nevo.co.il/case/25824863" TargetMode="External"/><Relationship Id="rId16" Type="http://schemas.openxmlformats.org/officeDocument/2006/relationships/hyperlink" Target="http://www.nevo.co.il/case/27115374" TargetMode="External"/><Relationship Id="rId17" Type="http://schemas.openxmlformats.org/officeDocument/2006/relationships/hyperlink" Target="http://www.nevo.co.il/case/26205761" TargetMode="External"/><Relationship Id="rId18" Type="http://schemas.openxmlformats.org/officeDocument/2006/relationships/hyperlink" Target="http://www.nevo.co.il/case/6950458" TargetMode="External"/><Relationship Id="rId19" Type="http://schemas.openxmlformats.org/officeDocument/2006/relationships/hyperlink" Target="http://www.nevo.co.il/case/25528733" TargetMode="External"/><Relationship Id="rId20" Type="http://schemas.openxmlformats.org/officeDocument/2006/relationships/hyperlink" Target="http://www.nevo.co.il/case/20033653" TargetMode="External"/><Relationship Id="rId21" Type="http://schemas.openxmlformats.org/officeDocument/2006/relationships/hyperlink" Target="http://www.nevo.co.il/case/25546727" TargetMode="External"/><Relationship Id="rId22" Type="http://schemas.openxmlformats.org/officeDocument/2006/relationships/hyperlink" Target="http://www.nevo.co.il/case/16987369" TargetMode="External"/><Relationship Id="rId23" Type="http://schemas.openxmlformats.org/officeDocument/2006/relationships/hyperlink" Target="http://www.nevo.co.il/case/17948201" TargetMode="External"/><Relationship Id="rId24" Type="http://schemas.openxmlformats.org/officeDocument/2006/relationships/hyperlink" Target="http://www.nevo.co.il/case/27292055" TargetMode="External"/><Relationship Id="rId25" Type="http://schemas.openxmlformats.org/officeDocument/2006/relationships/hyperlink" Target="http://www.nevo.co.il/case/26986954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2023-09-28T10:33:00Z</dcterms:created>
  <dc:creator> </dc:creator>
  <dc:description/>
  <cp:keywords/>
  <dc:language>en-IL</dc:language>
  <cp:lastModifiedBy>h1</cp:lastModifiedBy>
  <dcterms:modified xsi:type="dcterms:W3CDTF">2023-09-28T10:33:00Z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יוסף דבסאן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637380;25824863;27115374;26205761;6950458;25528733;20033653;25546727;16987369;17948201;27292055;26986954</vt:lpwstr>
  </property>
  <property fmtid="{D5CDD505-2E9C-101B-9397-08002B2CF9AE}" pid="9" name="CITY">
    <vt:lpwstr>ב"ש</vt:lpwstr>
  </property>
  <property fmtid="{D5CDD505-2E9C-101B-9397-08002B2CF9AE}" pid="10" name="DATE">
    <vt:lpwstr>20220630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יובל ליבדרו</vt:lpwstr>
  </property>
  <property fmtid="{D5CDD505-2E9C-101B-9397-08002B2CF9AE}" pid="14" name="LAWLISTTMP1">
    <vt:lpwstr>70301/144.b;334;335.a.1;335.a.2;029.b</vt:lpwstr>
  </property>
  <property fmtid="{D5CDD505-2E9C-101B-9397-08002B2CF9AE}" pid="15" name="LAWYER">
    <vt:lpwstr>לואי עזאם;ראיד אלעוברה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5683</vt:lpwstr>
  </property>
  <property fmtid="{D5CDD505-2E9C-101B-9397-08002B2CF9AE}" pid="22" name="NEWPARTB">
    <vt:lpwstr>04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390020220630</vt:lpwstr>
  </property>
  <property fmtid="{D5CDD505-2E9C-101B-9397-08002B2CF9AE}" pid="34" name="TYPE_N_DATE">
    <vt:lpwstr>39020220630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