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57001-11-21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מוסא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אבראהים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טאהא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- </w:t>
            </w:r>
            <w:r>
              <w:rPr>
                <w:b/>
                <w:b/>
                <w:bCs/>
                <w:rtl w:val="true"/>
              </w:rPr>
              <w:t>דינו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נגזר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אסד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אברהים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- </w:t>
            </w:r>
            <w:r>
              <w:rPr>
                <w:b/>
                <w:b/>
                <w:bCs/>
                <w:rtl w:val="true"/>
              </w:rPr>
              <w:t>דינו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נגזר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מהנד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אברהים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דינו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נגזר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ויסאם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מולא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הייתם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אברהים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דינו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נגזר</w:t>
            </w:r>
          </w:p>
        </w:tc>
      </w:tr>
    </w:tbl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בעצמו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inks_Start"/>
      <w:bookmarkEnd w:id="4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ביחס לנאשם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5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12" w:name="ABSTRACT_START"/>
      <w:bookmarkEnd w:id="12"/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בעבירה של סחר בנשק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11">
        <w:r>
          <w:rPr>
            <w:rStyle w:val="Hyperlink"/>
            <w:rFonts w:ascii="David" w:hAnsi="David" w:eastAsia="Calibri"/>
            <w:rtl w:val="true"/>
          </w:rPr>
          <w:t>סעיפים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)+(</w:t>
        </w:r>
        <w:r>
          <w:rPr>
            <w:rStyle w:val="Hyperlink"/>
            <w:rFonts w:ascii="David" w:hAnsi="David" w:eastAsia="Calibri"/>
            <w:rtl w:val="true"/>
          </w:rPr>
          <w:t>ג</w:t>
        </w:r>
        <w:r>
          <w:rPr>
            <w:rStyle w:val="Hyperlink"/>
            <w:rFonts w:eastAsia="Calibri" w:cs="David" w:ascii="David" w:hAnsi="David"/>
            <w:rtl w:val="true"/>
          </w:rPr>
          <w:t>)+</w:t>
        </w:r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ועבירות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13">
        <w:r>
          <w:rPr>
            <w:rStyle w:val="Hyperlink"/>
            <w:rFonts w:ascii="David" w:hAnsi="David" w:eastAsia="Calibri"/>
            <w:rtl w:val="true"/>
          </w:rPr>
          <w:t>סעיפים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רישא וסיפא </w:t>
      </w:r>
      <w:r>
        <w:rPr>
          <w:rFonts w:eastAsia="Calibri" w:cs="David" w:ascii="David" w:hAnsi="David"/>
          <w:rtl w:val="true"/>
        </w:rPr>
        <w:t xml:space="preserve">+ </w:t>
      </w:r>
      <w:hyperlink r:id="rId14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רישא וסיפא </w:t>
      </w:r>
      <w:r>
        <w:rPr>
          <w:rFonts w:eastAsia="Calibri" w:cs="David" w:ascii="David" w:hAnsi="David"/>
          <w:rtl w:val="true"/>
        </w:rPr>
        <w:t xml:space="preserve">+ </w:t>
      </w:r>
      <w:hyperlink r:id="rId15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כתב האישום חובק שני 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רק האישום השני מתייחס לנאשם ולכן אסקור להלן את תמצית עובדותיו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בחלק הכללי של כתב האישום נאמר כי המכונה נ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פ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פעל במועדים הרלוונטיים לכתב האישום בשליחות משטרת ישראל ורכש בהוראתה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באישורה ובכספה כלי נשק ותחמושת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הסוכן</w:t>
      </w:r>
      <w:r>
        <w:rPr>
          <w:rFonts w:eastAsia="Calibri" w:cs="David" w:ascii="David" w:hAnsi="David"/>
          <w:rtl w:val="true"/>
        </w:rPr>
        <w:t xml:space="preserve">").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7.3.2021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בצהריים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יצר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קשר עם הסוכן ומסר לו כי 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אותו היה אמור הסוכן לרכוש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מצוי ברשותו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ביקש לפגוש בסוכן לשם מכירתו של הרובה והשניים קבעו להיפגש בתחנת הדלק בכניסה לכפר שעב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בהמשך ולאחר תיאום עם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פגש הסוכן בתחנת הדלק בנאשמים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שהגיעו יחדיו ברכב טויוטה אותו נהג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עבר לרכבו של הסוכן והורה לו לנסוע אחרי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עד שהרכבים הגיעו לכפר ירכא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אל סמוך לבית האבות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מול הנוף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הותיר את רכב הטויוטה בסמוך לבית האבות ועבר גם הוא לרכבו של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הורה לסוכן להיכנס לחניון סמוך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בחניון המתין אותה עת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נושא ומוביל בתא המטען של רכב רנו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איתו הגיע למקום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רובה סער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עם חלק תחתון מוסב</w:t>
      </w:r>
      <w:r>
        <w:rPr>
          <w:rFonts w:eastAsia="Calibri" w:cs="David" w:ascii="David" w:hAnsi="David"/>
          <w:rtl w:val="true"/>
        </w:rPr>
        <w:t>/</w:t>
      </w:r>
      <w:r>
        <w:rPr>
          <w:rFonts w:ascii="David" w:hAnsi="David" w:eastAsia="Calibri"/>
          <w:rtl w:val="true"/>
        </w:rPr>
        <w:t>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שהינו כלי שסוגל לירות כדור או קלע שבכוחו להמית אדם והוא נשק כהגדרתו בחוק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החזיק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נשא והוביל הנאשם מחסנית תואמת שבתוכה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ועוד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נוספים שלא היו בתוך המחסנית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שהינם תחמושת לנשק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המחסנית והכדורים היו מוסלקים ברכב הרנו כשהם בתוך 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בשלב זה פגשו בחניון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שהיו יחד עם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שיצא מרכב הרנו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הסוכן ניגש אל רכבו להביא סכום כסף של </w:t>
      </w:r>
      <w:r>
        <w:rPr>
          <w:rFonts w:eastAsia="Calibri" w:cs="David" w:ascii="David" w:hAnsi="David"/>
        </w:rPr>
        <w:t>100,000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שהיווה את התמורה לנשק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הנאשם נשא מתא המטען של רכב הרנו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והארבעה נכנסו לחדר שנמצא בחניון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בחדר מסר הנאשם את הנשק לסוכן והסוכן מסר לנאשמים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הכסף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יחד עם הנאשם נכנסו לרכב הרנו וספרו את הכסף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לאחר מכן חזרו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לרכבו של הסוכן והם עזבו יחד את 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הרשעתו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נעתרתי לבקשת סנגורו והוריתי על הפנייתו לשירות המבחן לצורך עריכת תסקיר בעניינו בטרם שמיעת טיעוני הצדדים לעונש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בשים לב לכך שמדובר בנאשם יליד </w:t>
      </w:r>
      <w:r>
        <w:rPr>
          <w:rFonts w:eastAsia="Calibri" w:cs="David" w:ascii="David" w:hAnsi="David"/>
        </w:rPr>
        <w:t>1975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47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שאין לחובתו הרשעות קודמות ומצבו הרפואי מורכב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תסקיר שירות המבחן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6.11.2022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מדובר בגבר בן </w:t>
      </w:r>
      <w:r>
        <w:rPr>
          <w:rFonts w:eastAsia="Calibri" w:cs="David" w:ascii="David" w:hAnsi="David"/>
        </w:rPr>
        <w:t>47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נשוי ואב לארבעה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שעבד טרם מעצרו בבית אבות בירכא משך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שיתף כי הוא סובל מקדחת ים תיכונית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מחלה כרונית המלווה בחום ובכאבים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לאורך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בגינה הוא מקבל טיפול תרופתי קבוע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שירות המבחן ציין כי מגיליון רישומו הפלילי עולה כי אין לחובתו של הנאשם הרשעות קודמות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בהתייחסו לביצוע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ציין הנאשם כי הוא מכיר את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מבית האבות מאחר שאביו מאושפז במקום מזה שנים רבות ובין השניים נרקמה ידידות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את הנאשמים האחרים לא הכיר כלל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ציין הנאשם כי הוא מצא בעבר את הרובה במטע זיתים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נוכח העובדה שירו בעבר על בית האבות רימונים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גמל בלבו להשאיר את הנשק ברשותו לצורך הגנה עצמית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שיתף בכך את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שהציע לו למכור את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ציין כי הנאשם גילה הבנה לחומרת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מביע חרטה לגביהם ומצר עליהם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מדובר בנטילת אחריות ראשונית ופורמלית בלבד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לעבריינות עתידית אל מול סיכויי השיקום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 תפקודו התעסוקתי התקין של הנאשם וכן היותו משתייך למשפחה נורמטיבית ומפגין אחריות ומחויבות למשפחתו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המהווה מערכת תמיכה משמעותית עבורו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התרשם שירות המבחן כי הנאשם חווה הרתעה נוכח מעורבותו בפלילים לראשונה בחייו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 קיומו של פער בין אמירותיו השוללות התנהלות בעייתית לבין מעורבותו בעבירות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וניכר כי רב הנסתר על הגלוי ביחס לכך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בבואו להעריך את הסיכון לעבריינות עתידית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שירות המבחן את יכולתו המוגבלת של הנאשם ביצירת ביטחון וקשר עם דמויות משמעותיות וגורמי תמיכה וטיפול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ניכר כי תפיסת התפקיד של הנאשם נוקשה במידה מסוימת ולפיה עליו לפרנס את משפחתו בכל מחיר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מהאבחון שנערך אודותיו עלה כי קיימת הערכת סיכון בינונית להישנות ביצוע עבירות ברמת חומרה נמוכה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התרשמות שירות המבחן כי המוטיבציה של הנאשם לקבלת טיפול הינה חיצונית ומבוססת על חרדה מאימת הדין וחשש מתוצאות ההליך המשפטי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ובשים לב לכך שהנאשם לא ביטא קושי או נזקקות להשתלב במסגרת טיפולית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 שירות המבחן כי הפרוגנוזה השיקומית בעניינו נמוכה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אף שהנאשם לא שלל כניסה להליך טיפולי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שבשים לב לרושם שהותיר לפיו הוא נעדר פניות ויכולת לערוך התבוננות מעמיקה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בא שירות המבחן בהמלצה שיקומית לגביו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מטעם המאשימה לא הוגשו ראיות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ההגנה מצדה הגישה אסופה של תעודות רפואיות המלמדות על מצבו הרפואי המורכב של הנאשם הן בתחום הפיזי והן בתחום הנפשי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הפנתה המאשימה לכך שהנאשם פגע במעשיו פגיעה של ממש בביטחון ובשלום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משמדובר בעבירה חמורה של סחר בנשק בלתי חוקי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הודגש כי מדובר ברובה סער ובמעשים שתוכננו היטב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מהקשר עם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תיאום המפגשים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תיאום פרטי העסקה ולבסוף מכירת הנשק בסכום גבוה של </w:t>
      </w:r>
      <w:r>
        <w:rPr>
          <w:rFonts w:eastAsia="Calibri" w:cs="David" w:ascii="David" w:hAnsi="David"/>
        </w:rPr>
        <w:t>100,000</w:t>
      </w:r>
      <w:r>
        <w:rPr>
          <w:rFonts w:eastAsia="Calibri" w:cs="David" w:ascii="David" w:hAnsi="David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המאשימה ציינה כי לנאשם חלק עיקרי ומרכזי בעבירות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הוא זה שהביא את הנשק למפגש עם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הנזק שצפוי היה להיגרם מהמעשים הוא משמעותי ביותר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של חומרת מעשי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לאלימות המשתוללת ברחבי המדינה תוך שימוש בנשק 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המחייבת ענישה מחמירה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שהפנתה למדיניות הענישה הנלמדת מהפסיקה עליה הצביעה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ענישה הנע בין 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 מותנה וקנס משמעותי לנוכח הרווח שהופק והסכום הגבוה של העסקה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מנתה המאשימה את העובדה שמדובר בנאשם 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שהודה בכתב האישום ללא ניהול הוכחות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למצבו הרפואי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לא מדובר במצב המצדיק הקלה משמעותית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מבחינת התחלואה הפיזית והן מבחינת התיעוד הפסיכיאטרי שהוצג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עוד הפנתה המאשימה לתסקיר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המלמד על כך שאמירותיו של הנאשם בכל הנוגע ללקיחת אחריות על מעשיו מונעות ממוטיבציה חיצונית נוכח חרדה מאימת הדין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 כי בסופו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בא שירות המבחן בהמלצה שיקומית בעניינו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בנוגע לקביעת העונש בתוך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הסכימה המאשימה כי יש לגזור את עונשו של הנאשם ברף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היעדר עבר פלילי ונסיבותיו האישיות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טען כי אין ממש בטענות המאשימה כאילו מילא הנאשם חלק מרכזי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בקשירת הקשר עם הסוכן ובתיאום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עיון בכתב האישום מלמד כי לנאשם זה מעולם לא היה קשר לסוכן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נטען כי הוא היה חלק מתיאום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מהמשא ומתן שהתנהל לגביה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מסיכום התמורה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מקביעת מקום המפגש ועוד כהנה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נכנס הנאשם לתמונה רק ביום ביצוע העסקה וחלקו בא לידי ביטוי בהובלה ובאספקה של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התמורה ששולמה במסגרת העסקה אף היא לא הועברה ישירות לידיו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למתחם לו עתרה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הסנגור לכך שבטיעוניה לעונש בנוגע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שהוא הרוח החיה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טענה המאשימה בנוגע לאישום השני למתחם ענישה הנע בין 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זה לא הפריע לאותה מדינה לבוא בעניינו של הנאשם ולטעון למתחם שונה של 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צוין כי גם בערעור שהגישה המאשימה כנגד גזר הדין שניתן ביחס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היא טענה שהמתחם לו עתרה הוא המתחם הנכון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הוסיף וטען כי אין זה מתקבל על הדעת שחודשיים לאחר מכן תבוא אותה מאשימה ותטען למתחם חדש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בכך משום חוסר הגינות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הוסיף וטען כי בסופו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דחה בית המשפט את המתחם לו עתרה המאשימה ביחס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וקבע מתחם הנע בין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אם כך נקבע לגבי מי שסחר פעמיים בשני כלי נשק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ספק שהמתחם שצריך להיקבע בעניינו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כמי שביצע עסקה 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חייב להיות נמוך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שהפנה לפסיקה הרלוונטית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התאמתה לענייננו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הסנגור לקבוע מתחם ענישה המתחיל ברף תחתון של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בשים לב לכך שמדובר בנאשם בן </w:t>
      </w:r>
      <w:r>
        <w:rPr>
          <w:rFonts w:eastAsia="Calibri" w:cs="David" w:ascii="David" w:hAnsi="David"/>
        </w:rPr>
        <w:t>47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שזו מעורבותו הראשונה בפלילים והוא מעולם לא בא במגע עם רשויות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ובהתחשב בכך שהוא הודה וחסך זמן שיפוטי יקר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ולאור מצבו הרפואי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 הסנגור כי יש לגזור את עונשו של הנאשם בתחתית המתחם לו טען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אמר הנאשם כי הוא מצטער על מעשיו ומתבייש בהם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בקביעת מתחם העונש ההולם על בית המשפט לוודא קיומו של יחס הולם בין חומרת מעשה העבירה ומידת אשמו של הנאשם לבין העונש המוטל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בהתאם לעיקרון ההלימה שעוגן בתיקון </w:t>
      </w:r>
      <w:r>
        <w:rPr>
          <w:rFonts w:eastAsia="Calibri" w:cs="David" w:ascii="David" w:hAnsi="David"/>
        </w:rPr>
        <w:t>113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בבואו לקבוע את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להתחשב בערכים החברתיים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החברתיים שנפגעו מביצוע העבירות בענייננו הם הגנה על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שלומו וביטחונו של הציבור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עמד באין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ספור הזדמנויות על הצורך בהחמרת הענישה כלפי כל מי שמורשע בעבירות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התפשטותה של תופעת העבריינות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שהגיעה לממדים מדאיגים עד מאוד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לדוגמה ב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ביטון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14.2.2021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נקבע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עבירות נשק לסוגיהן היו זה מכבר למכת 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שמירה על סדרי חיים תקינים ושלווים שאינם מופרעים על ידי איש האוחז באקדח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בתת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יתירה מכך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עסקינן באיסורים על מעשי הכנה לקראת ביצועם של מעשים פליליים חמורים ומסוכנים עד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מאד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נעשים באמצעות כלי ירייה ואשר כוללים 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ירי במקום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גרימת חבלה והמתה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בדרך 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מעשי הכנה שאינם מגיעים כדי ניסיון לעבור עבירה פלילית אינם בני 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פלר 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52-48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כרך ב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תשמ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על מעשי הכנה כאלה נענשים בחומרה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כאמור בסעיף </w:t>
      </w:r>
      <w:r>
        <w:rPr>
          <w:rFonts w:eastAsia="Calibri" w:cs="David" w:ascii="David" w:hAnsi="David"/>
        </w:rPr>
        <w:t>144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 זה ועונשים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שחלקם חמורים אף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מוטלים על עברייני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מהווים חלק ממלחמתה הבלתי מתפשרת של החברה בנגע ששמו זילות חיי אדם והקלות הבלתי נסבלת של הלחיצה על ההדק</w:t>
      </w:r>
      <w:r>
        <w:rPr>
          <w:rFonts w:eastAsia="Calibri" w:cs="David" w:ascii="David" w:hAnsi="David"/>
          <w:rtl w:val="true"/>
        </w:rPr>
        <w:t xml:space="preserve">. [...] </w:t>
      </w:r>
      <w:r>
        <w:rPr>
          <w:rFonts w:ascii="David" w:hAnsi="David" w:eastAsia="Calibri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בפסק דין שניתן לאחרונה ב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ציין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שטיין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בהמשך לדברים אלה הבהרתי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בפסק הדין שניתן באחרונה בהסכמת חבריי השופטים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אלרון וי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כשר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בטיפולנו בעבירות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>מסוג זה ובמבצעיהן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ועל 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יעדים עונשיים אלו מוחקים מניה וביה את בקשת העבריין לשיקום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 xml:space="preserve">ראו 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)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(‏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מסיבה פשוטה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בימים קשים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eastAsia="Calibri" w:cs="David" w:ascii="David" w:hAnsi="David"/>
          <w:rtl w:val="true"/>
        </w:rPr>
        <w:t>." (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בהקשר זה אוסיף ואציין את המובן מאליו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בית משפט שמקל בעונשו של עבריין נשק מכביד על החברה שנאלצת להגן על עצמה – על כל בניה ובנותיה – מעברייני נשק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ובפסק דין שניתן לאחר גזר הדין בעניינם של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4103/22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אמון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6.11.2022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נאמר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בית משפט זה שב והדגיש את החומרה הרבה הגלומה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טומנות בחובן פוטנציאל פגיעה בחיי האדם ובשלמות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ומסכנות את ביטחון הציבור והסדר הציבורי בכללותו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עניין ביאדסה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; 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1695/22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גנאים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29.3.2022</w:t>
      </w:r>
      <w:r>
        <w:rPr>
          <w:rFonts w:eastAsia="Calibri" w:cs="David" w:ascii="David" w:hAnsi="David"/>
          <w:rtl w:val="true"/>
        </w:rPr>
        <w:t xml:space="preserve">); 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5522/20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חלייחל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24.2.2021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חומרתן הרבה של עבירות מסוג זה מתעצמת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משום החשש שישמשו בסיס לביצוע פעילות טרור או פעילות עבריינית </w:t>
      </w:r>
      <w:r>
        <w:rPr>
          <w:rFonts w:eastAsia="Calibri"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8017/20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גריפאת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22.12.2020</w:t>
      </w:r>
      <w:r>
        <w:rPr>
          <w:rFonts w:eastAsia="Calibri"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135/17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בסל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8.3.2017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שצוין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עבירות בנשק במדינת ישראל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ומשכך קיים צורך בענישה מחמירה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תגביר את ההרתעה מפני ביצוען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לעניין זה יפים דבריו של השופט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עמית בעניין קדורה</w:t>
      </w:r>
      <w:r>
        <w:rPr>
          <w:rFonts w:eastAsia="Calibri" w:cs="David" w:ascii="David" w:hAnsi="David"/>
          <w:rtl w:val="true"/>
        </w:rPr>
        <w:t xml:space="preserve">: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החזקת נשק שלא כדין מאיימת על שלום הציבור ובטחונו </w:t>
      </w:r>
      <w:r>
        <w:rPr>
          <w:rFonts w:eastAsia="Calibri" w:cs="David" w:ascii="David" w:hAnsi="David"/>
          <w:rtl w:val="true"/>
        </w:rPr>
        <w:t xml:space="preserve">[...]. </w:t>
      </w:r>
      <w:r>
        <w:rPr>
          <w:rFonts w:ascii="David" w:hAnsi="David" w:eastAsia="Calibri"/>
          <w:rtl w:val="true"/>
        </w:rPr>
        <w:t>לנוכח היקפן המתרחב של עבירות המבוצעות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הזמינות הבלתי נסבלת של נשק בידי  מי שאינו מורשה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כמו גם לאסונות נוראיים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יעידו על כך ריבוי המקרים במגזר הערבי בעת האחרונה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מבצרם או בגן השעשועים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 זאת כתוצאה משימוש בנשק של 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מציאות קשה זו מחייבת לנקוט ביד מחמירה כלפי מעורבים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אף אם הם נעדרי עבר פלילי </w:t>
      </w:r>
      <w:r>
        <w:rPr>
          <w:rFonts w:eastAsia="Calibri" w:cs="David" w:ascii="David" w:hAnsi="David"/>
          <w:rtl w:val="true"/>
        </w:rPr>
        <w:t xml:space="preserve">[...]. </w:t>
      </w:r>
      <w:r>
        <w:rPr>
          <w:rFonts w:ascii="David" w:hAnsi="David" w:eastAsia="Calibri"/>
          <w:rtl w:val="true"/>
        </w:rPr>
        <w:t>ענייננו ב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שהצורך להילחם בה על מנת להגן על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מצריך מענה הולם והטלת עונשי מאסר משמעותיים </w:t>
      </w:r>
      <w:r>
        <w:rPr>
          <w:rFonts w:eastAsia="Calibri" w:cs="David" w:ascii="David" w:hAnsi="David"/>
          <w:rtl w:val="true"/>
        </w:rPr>
        <w:t>[...]" (</w:t>
      </w:r>
      <w:r>
        <w:rPr>
          <w:rFonts w:ascii="David" w:hAnsi="David" w:eastAsia="Calibri"/>
          <w:rtl w:val="true"/>
        </w:rPr>
        <w:t>ההדגשות הוספו – ע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פ</w:t>
      </w:r>
      <w:r>
        <w:rPr>
          <w:rFonts w:eastAsia="Calibri" w:cs="David" w:ascii="David" w:hAnsi="David"/>
          <w:rtl w:val="true"/>
        </w:rPr>
        <w:t xml:space="preserve">'; 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ראו גם את פסק הדין של השופט 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מזוז ב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סובח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סובח</w:t>
      </w:r>
      <w:r>
        <w:rPr>
          <w:rFonts w:eastAsia="Calibri" w:cs="David" w:ascii="David" w:hAnsi="David"/>
          <w:rtl w:val="true"/>
        </w:rPr>
        <w:t>))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מגמת ההחמרה ביחס לעבירות בנשק ניתן גם ללמוד מהתיקון ל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שמטרתו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נועד להילחם בהתפשטות העבירות בנשק בקרב קבוצות גדולות באוכלוסייה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ייחודיות התופעה והשלכותיה החמורות והמחיר שהיא גובה בחיי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החמיר את העונש הקבוע בצדה של עבירת הרכישה של כלי נשק משבע שנות מאסר לעשר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קבע כי בתקופה של שלוש שנים מיום פרסומו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29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 להקל בעונשו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לפי אותו סעיף לא יהא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בהעדר טעמים מיוחדים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כולו על 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נכון הוא שאותו תיקון אינו חל בענייננו נוכח העובדה כי העבירות בוצעו טרם כניסתו לתוקף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יש בו כדי ללמד כי בצוק העתים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ונוכח ממדי התופעה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נרתם אף המחוקק למלחמה בעבירות בנשק על ידי החמרת העונשים המוטלים בגינן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בידי לקבל את טענת המאשימה כי לנאשם חלק עיקרי ומרכזי בעבירות מושא האישום השני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הטענה כאילו היה מעורב הנאשם בקשירת קשר עם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בתיאום המפגש עמו ובתיאום פרטי העסקה אינה מעוגנת בעובדות כתב האישום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ניתן לקבל את טענת הסנגור כי חלקו של הנאשם מסתכם בהבאת הנשק בלבד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 כי הנאשם לא הגיע למקום המפגש באופן אקראי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לאחר שתיאם זאת עם מי מיתר הנאשמים המעורבים בעסקה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שאין מקום לקבוע כי התנהלותו נעדרה תכנון והכנה מוקדמים או כי חלקו שולי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עוד בנסיבות הקשורות בביצוע העבירות נתתי דעתי לסוג הנשק שבו מדובר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רובה סער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תואמת ובתוכה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ועוד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שלא היו בתוך המחסנית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בנשק התקפי ופוגעני רב עוצמה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הנזק שנגרם בפועל מביצוע העבירות בענייננו מתבטא במשאבים אותם השקיעה משטרת ישראל במטרה לתפוס את הנשק מושא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בתמורה הכספית ששילם הסוכן בגין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העומדת על סך </w:t>
      </w:r>
      <w:r>
        <w:rPr>
          <w:rFonts w:eastAsia="Calibri" w:cs="David" w:ascii="David" w:hAnsi="David"/>
        </w:rPr>
        <w:t>100,000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פוטנציאל הנזק שעלול היה להיגרם חמור בהרבה מזה שנגרם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אילו התגלגל הנשק והגיע לידיים עברייניות נוספות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ניתן לשער על נקלה שהיה עלול לפגוע בחיי אדם ולהוביל לתוצאות הרות אסון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עמד ב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אבו עבסה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על הנזק הנגרם משימוש בנשק המוחזק באופן 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בקבעו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בנשק בלתי חוקי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ופגיעה ממשית בביטחונם האישי וברווחתם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שקבעתי במקרה אחר</w:t>
      </w:r>
      <w:r>
        <w:rPr>
          <w:rFonts w:eastAsia="Calibri" w:cs="David" w:ascii="David" w:hAnsi="David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השימוש בנשק חם ככלי ליישוב סכסוכים הפך לרעה חולה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למשל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על רקע המציאות אותה אנו חווים למרבה הצער מדי 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David" w:ascii="David" w:hAnsi="David"/>
          <w:rtl w:val="true"/>
        </w:rPr>
        <w:t xml:space="preserve">...'.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  <w:tab/>
      </w:r>
      <w:r>
        <w:rPr>
          <w:rFonts w:eastAsia="Calibri" w:cs="David" w:ascii="David" w:hAnsi="David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בהתאם לזאת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וכחלק מתפקידו של בית המשפט בביעורן של תופעות קשות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הסוחרים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מדיניות הענישה הנוהגת בעבירות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סחר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 ונשיאה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רואה לציין את מגמת ההחמרה הננקטת בידי בית המשפט בעבירות מסוג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החמרה זו עולה באופן הדרגתי אך עקבי נוכח ממדי התופעה של שימוש בנשק בלתי חוקי ותוצאותיה ההרסניות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המשליכות על הציבור בכללותו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הפסיקה מלפני שלוש שנים ואף פחות מזה אינה רלוונטית עוד ואין בה כדי לשקף את מדיניות הענישה הנוהגת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הזמנים השתנו ובצוק העתים נדרש בית המשפט לנהוג ביד קשה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כחלק מן המלחמה הכוללת בעבירות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בגזר הדין שניתן ביחס לנאשמים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הבאתי דוגמאות אחדות מהפסיקה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המלמדות על מדיניות הענישה הנוהגת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איני רואה צורך לחזור על הדברים פעם נוספת ודי אם אפנה לאמור בגזר הדין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שניתן לפני זמן לא 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28.9.2022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נסיבות 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הערכים המוגנים שנפגעו כתוצאה מביצוען ואת מדיניות הענישה הנוהגת במקרים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בענייננו 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 בתוך המתחם שנקבע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להתחשב בהודאתו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אף שלא במסגרת הסדר טיעון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הודה בכתב האישום כפי שהוגש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שתוקן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והודאתו זו מגלמת נטילת אחריות מצדו על מעשיו והביאה בנוסף גם לחיסכון בזמן שיפוטי יקר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עוד ראיתי להביא בחשבון את העובדה כי מדובר בנאשם נעדר כל עבר פלילי שזו הסתבכותו הראשונה עם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מתסקיר שירות המבחן עולה כי מדובר במי ששמר על רצף תעסוקתי משך שנים רבות ואינו מחזיק בדפוסים עברייניים מושרשים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אף ששירות המבחן לא בא בסופו של דבר בהמלצה שיקומית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ניתן לומר כי הרושם העולה מהתסקיר הוא שלילי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מהתיעוד הרפואי שהוצג בפניי עולה כי הנאשם לוקה בבריאותו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 לא מדובר במצב רפואי המצדיק הקלה מפליגה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בהחלט יש בו כדי להצדיק התחשבות בקביעת העונש בתוך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יסוד מקבץ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ימי מעצרו מיום </w:t>
      </w:r>
      <w:r>
        <w:rPr>
          <w:rFonts w:eastAsia="Calibri" w:cs="David" w:ascii="David" w:hAnsi="David"/>
        </w:rPr>
        <w:t>9.11.2021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10.2.2022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20,000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שישולם תוך </w:t>
      </w:r>
      <w:r>
        <w:rPr>
          <w:rFonts w:eastAsia="Calibri" w:cs="David" w:ascii="David" w:hAnsi="David"/>
        </w:rPr>
        <w:t>90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הנאשם יתייצב לתחילת ריצוי מאסרו ביום </w:t>
      </w:r>
      <w:r>
        <w:rPr>
          <w:rFonts w:eastAsia="Calibri" w:cs="David" w:ascii="David" w:hAnsi="David"/>
        </w:rPr>
        <w:t>15.1.2023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לשעה </w:t>
      </w:r>
      <w:r>
        <w:rPr>
          <w:rFonts w:eastAsia="Calibri" w:cs="David" w:ascii="David" w:hAnsi="David"/>
        </w:rPr>
        <w:t>9:00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בבית מעצר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הקישון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כשבידו תעודה מזהה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5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5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57001-11-21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אלד מוסא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." TargetMode="External"/><Relationship Id="rId10" Type="http://schemas.openxmlformats.org/officeDocument/2006/relationships/hyperlink" Target="http://www.nevo.co.il/law/70301/144.c." TargetMode="External"/><Relationship Id="rId11" Type="http://schemas.openxmlformats.org/officeDocument/2006/relationships/hyperlink" Target="http://www.nevo.co.il/law/70301/144.b2.;144.c.;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7309272" TargetMode="External"/><Relationship Id="rId18" Type="http://schemas.openxmlformats.org/officeDocument/2006/relationships/hyperlink" Target="http://www.nevo.co.il/safrut/bookgroup/41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8883087" TargetMode="External"/><Relationship Id="rId21" Type="http://schemas.openxmlformats.org/officeDocument/2006/relationships/hyperlink" Target="http://www.nevo.co.il/case/28697227" TargetMode="External"/><Relationship Id="rId22" Type="http://schemas.openxmlformats.org/officeDocument/2006/relationships/hyperlink" Target="http://www.nevo.co.il/case/28697218" TargetMode="External"/><Relationship Id="rId23" Type="http://schemas.openxmlformats.org/officeDocument/2006/relationships/hyperlink" Target="http://www.nevo.co.il/case/28384637" TargetMode="External"/><Relationship Id="rId24" Type="http://schemas.openxmlformats.org/officeDocument/2006/relationships/hyperlink" Target="http://www.nevo.co.il/case/26905927" TargetMode="External"/><Relationship Id="rId25" Type="http://schemas.openxmlformats.org/officeDocument/2006/relationships/hyperlink" Target="http://www.nevo.co.il/case/27171364" TargetMode="External"/><Relationship Id="rId26" Type="http://schemas.openxmlformats.org/officeDocument/2006/relationships/hyperlink" Target="http://www.nevo.co.il/case/22006503" TargetMode="External"/><Relationship Id="rId27" Type="http://schemas.openxmlformats.org/officeDocument/2006/relationships/hyperlink" Target="http://www.nevo.co.il/case/25824863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7734980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2024-05-05T08:29:00Z</dcterms:created>
  <dc:creator> </dc:creator>
  <dc:description/>
  <cp:keywords/>
  <dc:language>en-IL</dc:language>
  <cp:lastModifiedBy>h1</cp:lastModifiedBy>
  <dcterms:modified xsi:type="dcterms:W3CDTF">2024-05-05T08:29:00Z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ח'אלד מוסא;סמיר אבראהים טאהא;אסד אברהים;מהנד אברהים;ויסאם מולא;הייתם אברהים</vt:lpwstr>
  </property>
  <property fmtid="{D5CDD505-2E9C-101B-9397-08002B2CF9AE}" pid="4" name="BOOKGROUPTMP1">
    <vt:lpwstr>412</vt:lpwstr>
  </property>
  <property fmtid="{D5CDD505-2E9C-101B-9397-08002B2CF9AE}" pid="5" name="CASESLISTTMP1">
    <vt:lpwstr>27309272;28883087;28697227;28697218;28384637;26905927;27171364;22006503;25824863;27734980</vt:lpwstr>
  </property>
  <property fmtid="{D5CDD505-2E9C-101B-9397-08002B2CF9AE}" pid="6" name="CITY">
    <vt:lpwstr>חי'</vt:lpwstr>
  </property>
  <property fmtid="{D5CDD505-2E9C-101B-9397-08002B2CF9AE}" pid="7" name="DATE">
    <vt:lpwstr>20221220</vt:lpwstr>
  </property>
  <property fmtid="{D5CDD505-2E9C-101B-9397-08002B2CF9AE}" pid="8" name="ISABSTRACT">
    <vt:lpwstr>Y</vt:lpwstr>
  </property>
  <property fmtid="{D5CDD505-2E9C-101B-9397-08002B2CF9AE}" pid="9" name="JUDGE">
    <vt:lpwstr>אמיר טובי</vt:lpwstr>
  </property>
  <property fmtid="{D5CDD505-2E9C-101B-9397-08002B2CF9AE}" pid="10" name="LAWLISTTMP1">
    <vt:lpwstr>70301/144.b2;144.c;029:2;144.a;144.b;144</vt:lpwstr>
  </property>
  <property fmtid="{D5CDD505-2E9C-101B-9397-08002B2CF9AE}" pid="11" name="LAWYER">
    <vt:lpwstr>יניב זוהר;שלומי שרון</vt:lpwstr>
  </property>
  <property fmtid="{D5CDD505-2E9C-101B-9397-08002B2CF9AE}" pid="12" name="NEWPARTA">
    <vt:lpwstr>57001</vt:lpwstr>
  </property>
  <property fmtid="{D5CDD505-2E9C-101B-9397-08002B2CF9AE}" pid="13" name="NEWPARTB">
    <vt:lpwstr>11</vt:lpwstr>
  </property>
  <property fmtid="{D5CDD505-2E9C-101B-9397-08002B2CF9AE}" pid="14" name="NEWPARTC">
    <vt:lpwstr>21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390020221220</vt:lpwstr>
  </property>
  <property fmtid="{D5CDD505-2E9C-101B-9397-08002B2CF9AE}" pid="19" name="TYPE_N_DATE">
    <vt:lpwstr>39020221220</vt:lpwstr>
  </property>
  <property fmtid="{D5CDD505-2E9C-101B-9397-08002B2CF9AE}" pid="20" name="WORDNUMPAGES">
    <vt:lpwstr>11</vt:lpwstr>
  </property>
</Properties>
</file>