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57220-05-15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באסי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בן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ציון גרינברגר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חמזה עבאסי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448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bookmarkStart w:id="8" w:name="ABSTRACT_START"/>
      <w:bookmarkEnd w:id="8"/>
      <w:r>
        <w:rPr>
          <w:rFonts w:ascii="Calibri" w:hAnsi="Calibri" w:cs="Calibri"/>
          <w:sz w:val="26"/>
          <w:sz w:val="26"/>
          <w:szCs w:val="26"/>
          <w:rtl w:val="true"/>
        </w:rPr>
        <w:t>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 </w:t>
      </w:r>
      <w:r>
        <w:rPr>
          <w:rFonts w:cs="Calibri" w:ascii="Calibri" w:hAnsi="Calibri"/>
          <w:sz w:val="26"/>
          <w:szCs w:val="26"/>
        </w:rPr>
        <w:t>31.5.15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הכולל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סילוואן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תיאר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פעילותו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ואחריותו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שמטרתה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17.6.15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מתוקן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נוסח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הוספת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התווספות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התקדמות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החקירה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המשטרתית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bookmarkStart w:id="9" w:name="ABSTRACT_END"/>
      <w:bookmarkEnd w:id="9"/>
      <w:r>
        <w:rPr>
          <w:rFonts w:ascii="Calibri" w:hAnsi="Calibri" w:cs="Calibri"/>
          <w:sz w:val="26"/>
          <w:sz w:val="26"/>
          <w:szCs w:val="26"/>
          <w:rtl w:val="true"/>
        </w:rPr>
        <w:t>בתשובה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הכחיש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המיוחסות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בהשתתפותו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בתהלוכה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אותה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שהתקיימו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הוכחות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שיופרט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יוער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בנתיב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332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התשל</w:t>
      </w:r>
      <w:r>
        <w:rPr>
          <w:rFonts w:cs="Calibri" w:ascii="Calibri" w:hAnsi="Calibri"/>
          <w:b/>
          <w:bCs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- </w:t>
      </w:r>
      <w:r>
        <w:rPr>
          <w:rFonts w:cs="Calibri" w:ascii="Calibri" w:hAnsi="Calibri"/>
          <w:b/>
          <w:bCs/>
          <w:sz w:val="26"/>
          <w:szCs w:val="26"/>
        </w:rPr>
        <w:t>1977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Calibri" w:ascii="Calibri" w:hAnsi="Calibri"/>
          <w:sz w:val="26"/>
          <w:szCs w:val="26"/>
          <w:rtl w:val="true"/>
        </w:rPr>
        <w:t xml:space="preserve">"), </w:t>
      </w:r>
      <w:r>
        <w:rPr>
          <w:rFonts w:ascii="Calibri" w:hAnsi="Calibri" w:cs="Calibri"/>
          <w:sz w:val="26"/>
          <w:sz w:val="26"/>
          <w:szCs w:val="26"/>
          <w:rtl w:val="true"/>
        </w:rPr>
        <w:t>אולם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בסעיף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חקיקה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שביארתי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בהכרעת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332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הירצחו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ח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דיר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2.7.14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החליט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צמיגים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ואבנים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שיסיירו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בסילואן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במדויק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למאשימה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המתפרעים</w:t>
      </w:r>
      <w:r>
        <w:rPr>
          <w:rFonts w:cs="Calibri" w:ascii="Calibri" w:hAnsi="Calibri"/>
          <w:sz w:val="26"/>
          <w:szCs w:val="26"/>
          <w:rtl w:val="true"/>
        </w:rPr>
        <w:t xml:space="preserve">") </w:t>
      </w:r>
      <w:r>
        <w:rPr>
          <w:rFonts w:ascii="Calibri" w:hAnsi="Calibri" w:cs="Calibri"/>
          <w:sz w:val="26"/>
          <w:sz w:val="26"/>
          <w:szCs w:val="26"/>
          <w:rtl w:val="true"/>
        </w:rPr>
        <w:t>התארגנו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קבוצות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והתעמתו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שהגיעו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לסילואן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המתפרעים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הבעירו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צמיגים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שנסע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בנתיב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332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בצירוף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274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)+(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בצירוף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152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>.</w:t>
        <w:tab/>
        <w:t xml:space="preserve"> 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2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מועדים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במדויק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שכוונו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גגות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השכונה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וטלוויזיות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מקולקלות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שהתרחש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במדויק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מכת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זית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ממרחק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10-15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שהתרחש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במדויק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משתתפים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הבחין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מוכנים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הקרקע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לקח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ממרחק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  <w:tab/>
        <w:t xml:space="preserve"> 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3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לילת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אלקדר</w:t>
      </w:r>
      <w:r>
        <w:rPr>
          <w:rFonts w:cs="Calibri" w:ascii="Calibri" w:hAnsi="Calibri"/>
          <w:sz w:val="26"/>
          <w:szCs w:val="26"/>
          <w:rtl w:val="true"/>
        </w:rPr>
        <w:t xml:space="preserve">", </w:t>
      </w:r>
      <w:r>
        <w:rPr>
          <w:rFonts w:ascii="Calibri" w:hAnsi="Calibri" w:cs="Calibri"/>
          <w:sz w:val="26"/>
          <w:sz w:val="26"/>
          <w:szCs w:val="26"/>
          <w:rtl w:val="true"/>
        </w:rPr>
        <w:t>שבין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התאריכים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24-25.7.14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בתהלוכה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מסילואן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לכיוון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מסגד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אלאקצא</w:t>
      </w:r>
      <w:r>
        <w:rPr>
          <w:rFonts w:cs="Calibri" w:ascii="Calibri" w:hAnsi="Calibri"/>
          <w:sz w:val="26"/>
          <w:szCs w:val="26"/>
          <w:rtl w:val="true"/>
        </w:rPr>
        <w:t>".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משנעצרה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התהלוכה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להשליכם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הכוחות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לחברי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בסעיף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שפעלו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הצבא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שפעלו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4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ספטמבר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במדויק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בשעות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הערב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אלעמוד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keepNext w:val="true"/>
        <w:keepLines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5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עיד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אלאדחא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4.10.14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שחלקם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רעולי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זרק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וצבע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שנסע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גבוהה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מאבטחים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הפועלים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בשוכנת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המראות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במזיד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בנתיב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תחבורה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היזק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בזדון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452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6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22.10.14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הפועלים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בסילואן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ונוספים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שהגיעו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שפעלו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7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24.10.14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התרחשו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עימותים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רעולי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אלוזה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בעימותים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keepNext w:val="true"/>
        <w:keepLines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31.10.14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התאספו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והחלו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להתעמת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בעימותים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רכש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בעימותים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9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5.11.14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לסילואן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היזק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בזדון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452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hyperlink r:id="rId33"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10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6.3.15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במועד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במדויק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התרחשו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עימותים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ששהו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בעימותים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בנזין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ששאב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משפחתו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שנטלו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בעימותים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11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נפץ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12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3.4.15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20:30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>: "</w:t>
      </w:r>
      <w:r>
        <w:rPr>
          <w:rFonts w:ascii="Calibri" w:hAnsi="Calibri" w:cs="Calibri"/>
          <w:sz w:val="26"/>
          <w:sz w:val="26"/>
          <w:szCs w:val="26"/>
          <w:rtl w:val="true"/>
        </w:rPr>
        <w:t>החבורה</w:t>
      </w:r>
      <w:r>
        <w:rPr>
          <w:rFonts w:cs="Calibri" w:ascii="Calibri" w:hAnsi="Calibri"/>
          <w:sz w:val="26"/>
          <w:szCs w:val="26"/>
          <w:rtl w:val="true"/>
        </w:rPr>
        <w:t xml:space="preserve">")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אלוזה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כשהם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רעולי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ומצוידים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בזיקוקים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לתקוף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המסיירים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לכיכר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ובכללה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ממרחק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הקדמי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התנפצו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הקדמית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האחורי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בלהבות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להתקדם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איטית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לעזוב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וחפצים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כבד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רישא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16.4.15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אלוזה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אבטחה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המתגוררים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סילואן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הרכב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720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16.4.15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שהגיעו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להתעמת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המשטרה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/>
      </w:pPr>
      <w:r>
        <w:rPr>
          <w:rFonts w:cs="Calibri" w:ascii="Calibri" w:hAnsi="Calibri"/>
          <w:b/>
          <w:bCs/>
          <w:sz w:val="26"/>
          <w:szCs w:val="26"/>
          <w:rtl w:val="true"/>
        </w:rPr>
        <w:tab/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אישום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מספר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u w:val="single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2.5.15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והצטרף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למפרי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שהתאספו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והתעמתו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שחלקם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רעולי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אבטחה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תושבים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המתגוררים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בכביש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הבאות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567" w:end="0"/>
        <w:jc w:val="both"/>
        <w:rPr/>
      </w:pP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הצתה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בנתיב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תחבורה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;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המוזכרים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>).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עקב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19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הוזמן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מתורגמן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בפרוטוקולים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ביהמ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ובגיליון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התסקיר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התארס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בוגר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לימוד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תעודת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מכונאי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לימודיו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גבס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הכחיש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מהתסקיר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בסיסי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עריכת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התסקיר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סבלנות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התרשם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יכולות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וורבליות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וקוגניטיביו</w:t>
      </w:r>
      <w:r>
        <w:rPr>
          <w:rFonts w:ascii="Calibri" w:hAnsi="Calibri" w:cs="Calibri"/>
          <w:sz w:val="26"/>
          <w:sz w:val="26"/>
          <w:szCs w:val="26"/>
          <w:rtl w:val="true"/>
        </w:rPr>
        <w:t>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והעריך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הליכי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המתנהלים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מהווים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מרתיע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מלקיחת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וקצין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להעריך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שולית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בפרט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  <w:r>
        <w:rPr>
          <w:rFonts w:ascii="Calibri" w:hAnsi="Calibri" w:cs="Calibri"/>
          <w:sz w:val="26"/>
          <w:sz w:val="26"/>
          <w:szCs w:val="26"/>
          <w:rtl w:val="true"/>
        </w:rPr>
        <w:t>לבסוף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באפשרותו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המלצה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וחמורים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נמשכו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ממושכת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רווית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איימו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ועדיין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מאיימות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והשקט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תכליתה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להדגיש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המרכזי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והדומיננטי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קבוצה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בהקשר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לפעולותיו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ובתיאום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ורכישת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ותושבים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בעדויות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מביהמ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שעניינם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בירושלים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היקפם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נתפס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מחייבים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להרתיע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צעירים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המחוקק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דעתו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נקבעו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חקיקה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מינימום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בנתיב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המעידים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מסוימת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וזריקת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לאומני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הקושי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המובנה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עקרונות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מהאירועים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עקרון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דווקני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שגוללו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נפרד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הכולל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ומשקף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ומאוזן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הנהוג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7643/11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לואי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מסוודה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7.4.13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שותף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סילוואן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hyperlink r:id="rId3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2597/14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פרחן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25.5.15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וחצי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3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1847-05-14</w:t>
        </w:r>
      </w:hyperlink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מופיד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אעביד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30.6.15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נגזרו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חברות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בארגון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טרור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54132-06-15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השותפים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3.4.15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הושלכו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הקטין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כב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כהן</w:t>
      </w:r>
      <w:r>
        <w:rPr>
          <w:rFonts w:cs="Calibri" w:ascii="Calibri" w:hAnsi="Calibri"/>
          <w:sz w:val="26"/>
          <w:szCs w:val="26"/>
          <w:rtl w:val="true"/>
        </w:rPr>
        <w:t xml:space="preserve">) 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בהתייחס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טוענת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מלמדים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נקי</w:t>
      </w:r>
      <w:r>
        <w:rPr>
          <w:rFonts w:cs="Calibri" w:ascii="Calibri" w:hAnsi="Calibri"/>
          <w:sz w:val="26"/>
          <w:szCs w:val="26"/>
          <w:rtl w:val="true"/>
        </w:rPr>
        <w:t xml:space="preserve">".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מנגד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למזער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תוארה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מעורבותו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ואחריותו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והדבר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הטעיה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נסמכו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הודעותיו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מלמד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בולט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מנהיג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להבחין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מפסיקתו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3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7517/15</w:t>
        </w:r>
      </w:hyperlink>
      <w:r>
        <w:rPr>
          <w:rFonts w:cs="Arial" w:ascii="Arial" w:hAnsi="Arial"/>
          <w:color w:val="333333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color w:val="333333"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333333"/>
          <w:sz w:val="26"/>
          <w:sz w:val="26"/>
          <w:szCs w:val="26"/>
          <w:rtl w:val="true"/>
        </w:rPr>
        <w:t>מוחמד עביד</w:t>
      </w:r>
      <w:r>
        <w:rPr>
          <w:rFonts w:ascii="Arial" w:hAnsi="Arial" w:cs="Arial"/>
          <w:color w:val="333333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09.03.2016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Calibri" w:ascii="Calibri" w:hAnsi="Calibri"/>
          <w:sz w:val="26"/>
          <w:szCs w:val="26"/>
          <w:rtl w:val="true"/>
        </w:rPr>
        <w:t xml:space="preserve"> (</w:t>
      </w:r>
      <w:r>
        <w:rPr>
          <w:rFonts w:ascii="Calibri" w:hAnsi="Calibri" w:cs="Calibri"/>
          <w:sz w:val="26"/>
          <w:sz w:val="26"/>
          <w:szCs w:val="26"/>
          <w:rtl w:val="true"/>
        </w:rPr>
        <w:t>להלן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cs="Calibri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בחולייה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וביטחוניות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רצון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ביהודים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חוליה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מאורגן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מטרות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פוטנציאל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גבוהים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רוב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וזריקת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ואופי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לווה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בפעילות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מאורגנת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לרכוש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בלבד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הדגיש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שתקופת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הרתעתי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והאפשרות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ולמסלול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נורמטיבי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שהדגיש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דבריו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השופט </w:t>
      </w:r>
      <w:r>
        <w:rPr>
          <w:rFonts w:ascii="Calibri" w:hAnsi="Calibri" w:cs="Calibri"/>
          <w:sz w:val="26"/>
          <w:sz w:val="26"/>
          <w:szCs w:val="26"/>
          <w:rtl w:val="true"/>
        </w:rPr>
        <w:t>סולברג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באנשים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צעירים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ועתידם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לפניהם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לסתום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הגולל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שיקום</w:t>
      </w:r>
      <w:r>
        <w:rPr>
          <w:rFonts w:cs="Calibri" w:ascii="Calibri" w:hAnsi="Calibri"/>
          <w:b/>
          <w:bCs/>
          <w:sz w:val="26"/>
          <w:szCs w:val="26"/>
          <w:rtl w:val="true"/>
        </w:rPr>
        <w:t>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שהחלה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האחרונה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במציאות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לטענתו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עקרון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מחייב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תתואם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נהוג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שהתרחשו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0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בנפרד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לבסוף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נמנע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מלטעון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מפורש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מוגבל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הרתעתי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ויהלום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האפשרות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עונשו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ראשית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שעלתה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הטיעונים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לעונש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בנפרד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4910/13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b/>
          <w:bCs/>
          <w:sz w:val="26"/>
          <w:szCs w:val="26"/>
          <w:rtl w:val="true"/>
        </w:rPr>
        <w:t>'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29.10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cs="Calibri" w:ascii="Calibri" w:hAnsi="Calibri"/>
          <w:sz w:val="26"/>
          <w:szCs w:val="26"/>
        </w:rPr>
        <w:t>14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דן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בהבחנה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אירועים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והמבחנים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להפעיל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בטרם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4760/14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קיסלמן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7.5.15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במותב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תלתא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מלצר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8" w:end="1022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>"...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אבר</w:t>
      </w:r>
      <w:r>
        <w:rPr>
          <w:rFonts w:cs="Calibri" w:ascii="Calibri" w:hAnsi="Calibri"/>
          <w:sz w:val="26"/>
          <w:szCs w:val="26"/>
          <w:rtl w:val="true"/>
        </w:rPr>
        <w:t xml:space="preserve">... </w:t>
      </w:r>
      <w:r>
        <w:rPr>
          <w:rFonts w:ascii="Calibri" w:hAnsi="Calibri" w:cs="Calibri"/>
          <w:sz w:val="26"/>
          <w:sz w:val="26"/>
          <w:szCs w:val="26"/>
          <w:rtl w:val="true"/>
        </w:rPr>
        <w:t>אומץ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בדעת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רוב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ההדוק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להכרעה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אימתי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מעשים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ייחשבו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קביעת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ההולם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הדוק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כגון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Calibri"/>
          <w:sz w:val="26"/>
          <w:sz w:val="26"/>
          <w:szCs w:val="26"/>
          <w:rtl w:val="true"/>
        </w:rPr>
        <w:t>כאלה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שנעשו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סמיכות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זמנים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ושהן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תכנית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עבריינית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cs="Calibri" w:ascii="Calibri" w:hAnsi="Calibri"/>
          <w:sz w:val="26"/>
          <w:szCs w:val="26"/>
          <w:rtl w:val="true"/>
        </w:rPr>
        <w:t>, '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בוצעו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תקופת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קצרה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להפריד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ביניהן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ולחדול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מעשה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') – </w:t>
      </w:r>
      <w:r>
        <w:rPr>
          <w:rFonts w:ascii="Calibri" w:hAnsi="Calibri" w:cs="Calibri"/>
          <w:sz w:val="26"/>
          <w:sz w:val="26"/>
          <w:szCs w:val="26"/>
          <w:rtl w:val="true"/>
        </w:rPr>
        <w:t>ייחשבו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 xml:space="preserve">',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ביחס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cs="Calibri" w:ascii="Calibri" w:hAnsi="Calibri"/>
          <w:sz w:val="26"/>
          <w:szCs w:val="26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ראו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4289/14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חנונה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21.1.15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סעיף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כב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דנציגר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בקשה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לדיון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נדחתה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hyperlink r:id="rId44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דנ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845/15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ברבי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22.3.15</w:t>
      </w:r>
      <w:r>
        <w:rPr>
          <w:rFonts w:cs="Calibri" w:ascii="Calibri" w:hAnsi="Calibri"/>
          <w:sz w:val="26"/>
          <w:szCs w:val="26"/>
          <w:rtl w:val="true"/>
        </w:rPr>
        <w:t>)).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הנושאים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</w:t>
      </w:r>
      <w:r>
        <w:rPr>
          <w:rFonts w:ascii="David" w:hAnsi="David"/>
          <w:sz w:val="26"/>
          <w:sz w:val="26"/>
          <w:szCs w:val="26"/>
          <w:rtl w:val="true"/>
        </w:rPr>
        <w:t>וֹ</w:t>
      </w:r>
      <w:r>
        <w:rPr>
          <w:rFonts w:ascii="Calibri" w:hAnsi="Calibri" w:cs="Calibri"/>
          <w:sz w:val="26"/>
          <w:sz w:val="26"/>
          <w:szCs w:val="26"/>
          <w:rtl w:val="true"/>
        </w:rPr>
        <w:t>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ותושבים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סילוואן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במרבית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עצמם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פניו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אבחנה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מסוימת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והיקפם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השונים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מסכימים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חישוב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אריתמטי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לקבוע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בהתחשב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מקובלת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יקבע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כולל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החברתיים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והמדינה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האמורות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בהחמרת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בתקופה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במזרח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ירושלים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בפרט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לצערנו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עוסקים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לבקרים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אפנה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2337/13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קוואסמה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16.9.13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ארבל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1" w:end="1021"/>
        <w:jc w:val="both"/>
        <w:rPr>
          <w:rFonts w:ascii="Calibri" w:hAnsi="Calibri" w:cs="Calibri"/>
          <w:sz w:val="26"/>
          <w:szCs w:val="26"/>
        </w:rPr>
      </w:pP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סוג עבירות זה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שעניינן בקבוקי תבערה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מחייב ענישה מחמירה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.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תוצאותיו של בקבוק תבערה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וכבר היו דברים מעולם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עלולות להיות קשות ביותר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 xml:space="preserve">וראוי אפוא כי ייצא הקול שהענישה בכגון דא לא תהא קלה 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(...).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 xml:space="preserve">וכבר חזרתי והדגשתי בעבר שעל בתי המשפט </w:t>
      </w:r>
      <w:r>
        <w:rPr>
          <w:rFonts w:cs="Arial TUR;Arial" w:ascii="Arial TUR;Arial" w:hAnsi="Arial TUR;Arial"/>
          <w:sz w:val="26"/>
          <w:szCs w:val="26"/>
          <w:rtl w:val="true"/>
        </w:rPr>
        <w:t>'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להעביר מסר חד משמעי ונוקב של הרתעה מפני מעשים אלו שחוזרים ונשנים לצערנו ולא פעם מסתיימים בפגיעה ממש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',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וכן כי במעשים אלו שמבוצעים על רקע אידיאולוגי</w:t>
      </w:r>
      <w:r>
        <w:rPr>
          <w:rFonts w:cs="Arial TUR;Arial" w:ascii="Arial TUR;Arial" w:hAnsi="Arial TUR;Arial"/>
          <w:sz w:val="26"/>
          <w:szCs w:val="26"/>
          <w:rtl w:val="true"/>
        </w:rPr>
        <w:t>-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 xml:space="preserve">לאומני </w:t>
      </w:r>
      <w:r>
        <w:rPr>
          <w:rFonts w:cs="Arial TUR;Arial" w:ascii="Arial TUR;Arial" w:hAnsi="Arial TUR;Arial"/>
          <w:sz w:val="26"/>
          <w:szCs w:val="26"/>
          <w:rtl w:val="true"/>
        </w:rPr>
        <w:t>'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נדחים שיקולים אחרים מפני שיקול ההרתעה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'...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לפיכך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על יידוי בקבוקי תבערה העלולים לגרום להתלקחות רחבה ואף לפגיעה באדם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 xml:space="preserve">ראוי שתינתן ענישה הולמת 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...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בהתחשב במסוכנות הרבה של העבירות הללו יש הכרח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אפוא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במדיניות של ענישה מכבידה על מנת להוקיע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,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להרתיע ולשרש מעשים שכאלה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.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 xml:space="preserve">מדיניות ענישה זו תבטא באופן הולם את ההגנה על הערך החברתי הנפגע כתוצאה מפעילות עבריינית זו 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- </w:t>
      </w:r>
      <w:r>
        <w:rPr>
          <w:rFonts w:ascii="Arial TUR;Arial" w:hAnsi="Arial TUR;Arial" w:cs="Arial TUR;Arial"/>
          <w:sz w:val="26"/>
          <w:sz w:val="26"/>
          <w:szCs w:val="26"/>
          <w:rtl w:val="true"/>
        </w:rPr>
        <w:t>שמירה על ביטחון הציבור ושלטון החוק</w:t>
      </w:r>
      <w:r>
        <w:rPr>
          <w:rFonts w:cs="Arial TUR;Arial" w:ascii="Arial TUR;Arial" w:hAnsi="Arial TUR;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שלפניי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בערכים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המוגנים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לבסוף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רכושי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הפוטנציאלי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לנפש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גדול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שיעור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תושבי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השכונה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נגרמה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יתרה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פועלו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ברכישתם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והכנת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גרמה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והגדלת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הסיכוי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בנפש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יודגש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עסקינן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בפעילות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מאורגנת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ומתמשכת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בשקט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תושבי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העיר</w:t>
      </w:r>
      <w:r>
        <w:rPr>
          <w:rFonts w:cs="Calibri" w:ascii="Calibri" w:hAnsi="Calibri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המקסימאלי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כדלקמן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12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12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  </w:t>
      </w:r>
      <w:r>
        <w:rPr>
          <w:rFonts w:ascii="Calibri" w:hAnsi="Calibri" w:cs="Calibri"/>
          <w:sz w:val="26"/>
          <w:sz w:val="26"/>
          <w:szCs w:val="26"/>
          <w:rtl w:val="true"/>
        </w:rPr>
        <w:t>הצתה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12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 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חמש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12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 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חיי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במזיד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בנתיב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לתיקון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332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סיכון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לבטיחותו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הנוסע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עשרים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12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חמש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12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 </w:t>
      </w:r>
      <w:r>
        <w:rPr>
          <w:rFonts w:ascii="Calibri" w:hAnsi="Calibri" w:cs="Calibri"/>
          <w:sz w:val="26"/>
          <w:sz w:val="26"/>
          <w:szCs w:val="26"/>
          <w:rtl w:val="true"/>
        </w:rPr>
        <w:t>היזק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בזדון</w:t>
      </w:r>
      <w:r>
        <w:rPr>
          <w:rFonts w:cs="Calibri" w:ascii="Calibri" w:hAnsi="Calibri"/>
          <w:sz w:val="26"/>
          <w:szCs w:val="26"/>
          <w:rtl w:val="true"/>
        </w:rPr>
        <w:t xml:space="preserve">-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12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rtl w:val="true"/>
        </w:rPr>
        <w:t xml:space="preserve"> 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פזיז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ורשלני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בחומר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נפץ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360" w:before="0" w:after="360"/>
        <w:ind w:hanging="360" w:start="72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שנתיים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שפורט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הצדדים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לעניין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מדיניות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הנוהגת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הנוגעות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והשלכת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הוזכר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7643/11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מסוודה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7.4.13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ביהמ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הותיר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השתתפות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בסילוואן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ושתי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נפגעו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קצין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שהושלכו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וספגו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לתקיפת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הוזכר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2579/14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פרחאן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25.5.15</w:t>
      </w:r>
      <w:r>
        <w:rPr>
          <w:rFonts w:cs="Calibri" w:ascii="Calibri" w:hAnsi="Calibri"/>
          <w:sz w:val="26"/>
          <w:szCs w:val="26"/>
          <w:rtl w:val="true"/>
        </w:rPr>
        <w:t xml:space="preserve">),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ביהמ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הותיר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וחצי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הרשעת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הודאתו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ייצור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למסגד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אקצא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המערער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וייצרו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והשליכם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באפוד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שוטר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לבעור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רגיש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אקצא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כנסיבה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בחבלה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מחמירה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הטיל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כב</w:t>
      </w:r>
      <w:r>
        <w:rPr>
          <w:rFonts w:cs="Calibri" w:ascii="Calibri" w:hAnsi="Calibri"/>
          <w:sz w:val="26"/>
          <w:szCs w:val="26"/>
          <w:rtl w:val="true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אמנון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כהן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ארבע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פס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ראו לעיל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אליו התייחס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קיבל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קולת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שנגזר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קמא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דלמטה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נוטה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באופן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שמצדיק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התערבות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לדבריו</w:t>
      </w:r>
      <w:r>
        <w:rPr>
          <w:rFonts w:cs="Calibri" w:ascii="Calibri" w:hAnsi="Calibri"/>
          <w:sz w:val="26"/>
          <w:szCs w:val="26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</w:tabs>
        <w:spacing w:lineRule="exact" w:line="280" w:before="0" w:after="360"/>
        <w:ind w:start="1368" w:end="1022"/>
        <w:jc w:val="both"/>
        <w:rPr/>
      </w:pP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למותר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המסוכנות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סכנת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פשוטו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כמשמעו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להרתיע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המשיבים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שכמותם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ההסלמה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מדאיגה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להעניש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לעשות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לשירוש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התופעה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לאומני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</w:rPr>
        <w:t>גזעני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והרי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זאת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עודנו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מדברים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צעירים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אינם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קטינים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הרי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שעתידם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לפניהם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תקיפה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לסתום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הגולל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והתחשבות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אישיות</w:t>
      </w:r>
      <w:r>
        <w:rPr>
          <w:rFonts w:cs="Calibri" w:ascii="Calibri" w:hAnsi="Calibri"/>
          <w:sz w:val="26"/>
          <w:szCs w:val="26"/>
          <w:rtl w:val="true"/>
        </w:rPr>
        <w:t xml:space="preserve">."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  <w:tab/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שנפסקו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שבסופו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נפסקו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82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66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50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40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3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30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24</w:t>
      </w:r>
      <w:r>
        <w:rPr>
          <w:rFonts w:cs="Calibri" w:ascii="Calibri" w:hAnsi="Calibri"/>
          <w:sz w:val="26"/>
          <w:szCs w:val="26"/>
          <w:rtl w:val="true"/>
        </w:rPr>
        <w:t xml:space="preserve">); </w:t>
      </w:r>
      <w:r>
        <w:rPr>
          <w:rFonts w:ascii="Calibri" w:hAnsi="Calibri" w:cs="Calibri"/>
          <w:sz w:val="26"/>
          <w:sz w:val="26"/>
          <w:szCs w:val="26"/>
          <w:rtl w:val="true"/>
        </w:rPr>
        <w:t>ולנאשם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66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חלף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52</w:t>
      </w:r>
      <w:r>
        <w:rPr>
          <w:rFonts w:cs="Calibri" w:ascii="Calibri" w:hAnsi="Calibri"/>
          <w:sz w:val="26"/>
          <w:szCs w:val="26"/>
          <w:rtl w:val="true"/>
        </w:rPr>
        <w:t xml:space="preserve">).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בפסיקה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רחב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יחסית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הכרוכות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בזריקת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אידיאולוגי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כמובן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השלכות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כשמדובר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פעמי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והתארגנות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בקטינים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לגביהם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cs="Calibri" w:ascii="Calibri" w:hAnsi="Calibri"/>
          <w:sz w:val="26"/>
          <w:szCs w:val="26"/>
          <w:rtl w:val="true"/>
        </w:rPr>
        <w:t xml:space="preserve">). </w:t>
      </w:r>
      <w:r>
        <w:rPr>
          <w:rFonts w:ascii="Calibri" w:hAnsi="Calibri" w:cs="Calibri"/>
          <w:sz w:val="26"/>
          <w:sz w:val="26"/>
          <w:szCs w:val="26"/>
          <w:rtl w:val="true"/>
        </w:rPr>
        <w:t>מכל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סבורני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מגמת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נוכח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ההסלמה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שצריכה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להנחותינ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בגזירת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הדין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כגון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דא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ביקש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בהרבה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בהתארגנות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שנועדה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במטרות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להתסיס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בעיר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מבלי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להידרש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לשאלה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בניסיון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לפגוע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לכך</w:t>
      </w:r>
      <w:r>
        <w:rPr>
          <w:rFonts w:cs="Calibri" w:ascii="Calibri" w:hAnsi="Calibri"/>
          <w:sz w:val="26"/>
          <w:szCs w:val="26"/>
          <w:rtl w:val="true"/>
        </w:rPr>
        <w:t xml:space="preserve">, 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כמעט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בפס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</w:rPr>
        <w:t>עביד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כעת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אבחן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50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כאמור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ביצע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בהיותו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הפועלת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סילוואן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למטרה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לארגן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הביטחון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השונים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שכוונו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אזרחים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יהודים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בשכונה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5,9,11</w:t>
      </w:r>
      <w:r>
        <w:rPr>
          <w:rFonts w:cs="Calibri" w:ascii="Calibri" w:hAnsi="Calibri"/>
          <w:sz w:val="26"/>
          <w:szCs w:val="26"/>
          <w:rtl w:val="true"/>
        </w:rPr>
        <w:t>,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13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כוונו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ביטחון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עיון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במיוחד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בהיקף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נרחב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המוחלט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נעשה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בנוסף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ליידוי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והבערת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צמיגים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שלושה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נוספים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הצטיידו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והשליכו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סיור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משטרתי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וכתוצאה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</w:t>
      </w:r>
      <w:r>
        <w:rPr>
          <w:rFonts w:cs="Calibri" w:ascii="Calibri" w:hAnsi="Calibri"/>
          <w:sz w:val="26"/>
          <w:szCs w:val="26"/>
          <w:rtl w:val="true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</w:rPr>
        <w:t>יפ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ניסו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בטחון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לברוח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מפניהם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החבורה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המשיכו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ליידות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אבנים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נראה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מלמדים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האופי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לקח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מנעד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מסוים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בדרגת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cs="Calibri" w:ascii="Calibri" w:hAnsi="Calibri"/>
          <w:sz w:val="26"/>
          <w:szCs w:val="26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במסגרת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רחבה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שארגנה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סדר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כמתואר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תיאום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הסדר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קבוצות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מתפרעים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שונות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אסף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כספים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ממתפרעים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שפעלו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רכישת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להתפרעויות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תיאור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מבטא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מרכזיותו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התארגנות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התכנון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הרב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שקדם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ואחריותו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להוצאת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לפועל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</w:t>
      </w:r>
      <w:r>
        <w:rPr>
          <w:rFonts w:cs="Calibri" w:ascii="Calibri" w:hAnsi="Calibri"/>
          <w:sz w:val="26"/>
          <w:szCs w:val="26"/>
          <w:rtl w:val="true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</w:rPr>
        <w:t>כ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הכללי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המתוארות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שעשה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לדחות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עדויות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לחלקו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נשמעו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במהלך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ההוכחות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ועדויות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משקפות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התיאור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למעלה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גם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עובדות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כתב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מצביעות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חלק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רוכש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ומכין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בהתפרעויות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שניתן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לראות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באישומים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4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8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10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</w:t>
      </w:r>
      <w:r>
        <w:rPr>
          <w:rFonts w:cs="Calibri" w:ascii="Calibri" w:hAnsi="Calibri"/>
          <w:sz w:val="26"/>
          <w:szCs w:val="26"/>
          <w:rtl w:val="true"/>
        </w:rPr>
        <w:t>-</w:t>
      </w:r>
      <w:r>
        <w:rPr>
          <w:rFonts w:cs="Calibri" w:ascii="Calibri" w:hAnsi="Calibri"/>
          <w:sz w:val="26"/>
          <w:szCs w:val="26"/>
        </w:rPr>
        <w:t>13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צורך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להכביר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במילים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ההשלכות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השימוש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בבקבוקי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תבערה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וזיקוקים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ההתפרעות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והפוטנציאל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להיגרם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מכך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ובכן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נראה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אפוא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המצויים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במדרג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הגבוה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החומרה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היקף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האלימות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והנזק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הממשי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והפוטנציאלי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פעילות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בקבוצה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מאורגנת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כמו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הדומיננטיות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והתרומה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לאופי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והמסוכן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יותר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אותן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התפרעויות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מלמדות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חומרת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בצד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והאישומים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מהאירועים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הללו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עומד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עצמו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מצדיק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משמעותית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אולם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שנומק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צבירה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במקרה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לתוצאה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שאינה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סבירה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וזאת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באף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מהעבירות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בהן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ששקלתי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מצאתי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דנן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חמש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לשמונה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בענייננו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מתקיימים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חריגים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הנוגעים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המצדיקים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סטייה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מהמתחם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שנקבע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נמצא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בשיקום</w:t>
      </w:r>
      <w:r>
        <w:rPr>
          <w:rFonts w:cs="Calibri" w:ascii="Calibri" w:hAnsi="Calibri"/>
          <w:sz w:val="26"/>
          <w:szCs w:val="26"/>
          <w:rtl w:val="true"/>
        </w:rPr>
        <w:t xml:space="preserve">),  </w:t>
      </w:r>
      <w:r>
        <w:rPr>
          <w:rFonts w:ascii="Calibri" w:hAnsi="Calibri" w:cs="Calibri"/>
          <w:sz w:val="26"/>
          <w:sz w:val="26"/>
          <w:szCs w:val="26"/>
          <w:rtl w:val="true"/>
        </w:rPr>
        <w:t>ובין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הציבור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טענה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להחמיר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למתחמים</w:t>
      </w:r>
      <w:r>
        <w:rPr>
          <w:rFonts w:cs="Segoe UI" w:ascii="Segoe UI" w:hAnsi="Segoe UI"/>
          <w:color w:val="000000"/>
          <w:sz w:val="26"/>
          <w:szCs w:val="26"/>
          <w:rtl w:val="true"/>
        </w:rPr>
        <w:t>.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כן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אעבור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לבחינת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הנסיבות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האישיות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גזירת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המתחם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firstLine="714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פגיעה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מיוחדת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הצפויה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למשפחתו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עקב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לקולא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אציין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גילו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הצעיר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  <w:rtl w:val="true"/>
        </w:rPr>
        <w:t>(</w:t>
      </w:r>
      <w:r>
        <w:rPr>
          <w:rFonts w:cs="Calibri" w:ascii="Calibri" w:hAnsi="Calibri"/>
          <w:sz w:val="26"/>
          <w:szCs w:val="26"/>
        </w:rPr>
        <w:t>21</w:t>
      </w:r>
      <w:r>
        <w:rPr>
          <w:rFonts w:cs="Calibri" w:ascii="Calibri" w:hAnsi="Calibri"/>
          <w:sz w:val="26"/>
          <w:szCs w:val="26"/>
          <w:rtl w:val="true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</w:rPr>
        <w:t>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תשומת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לטענת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כוחו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מכביד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מידי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עשוי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למנוע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האפשרות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לשוב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ריצוי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עונשו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מנגד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לחומרה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נוטל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אחריות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מלאה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למעשיו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מביע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חרטה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להיעדרו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פלילי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מסכים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עמדת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המאשימה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כיוון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שמדובר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בריבוי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עבירות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המשקל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לתת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להיעדר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הפלילי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הינו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נמוך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בהשוואה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למצב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ראשונה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ואירוע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בודד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לצד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אלו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וודאי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לשקול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שיקולי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ההרתעה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במציאות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הנוכחית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מחייבים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החמרה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בענישה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והעברת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ברור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כפי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שפסק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לאחרונה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כמפורט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לעיל</w:t>
      </w:r>
      <w:r>
        <w:rPr>
          <w:rFonts w:cs="Calibri" w:ascii="Calibri" w:hAnsi="Calibri"/>
          <w:sz w:val="26"/>
          <w:szCs w:val="26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360" w:before="0" w:after="240"/>
        <w:ind w:hanging="0" w:start="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בהתאם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לחוק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ששקלתי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מכלול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השיקולים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הגעתי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לכלל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מסקנה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לגזור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בגין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כל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האירועים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</w:rPr>
        <w:t>לפיכך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אני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גוזר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 </w:t>
      </w:r>
      <w:r>
        <w:rPr>
          <w:rFonts w:ascii="Calibri" w:hAnsi="Calibri" w:cs="Calibri"/>
          <w:sz w:val="26"/>
          <w:sz w:val="26"/>
          <w:szCs w:val="26"/>
          <w:rtl w:val="true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העונשים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הבאים</w:t>
      </w:r>
      <w:r>
        <w:rPr>
          <w:rFonts w:cs="Calibri" w:ascii="Calibri" w:hAnsi="Calibri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7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שנות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בפועל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מעצרו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cs="Calibri" w:ascii="Calibri" w:hAnsi="Calibri"/>
          <w:sz w:val="26"/>
          <w:szCs w:val="26"/>
        </w:rPr>
        <w:t>10.5.15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קנס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בסך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10,000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Cs w:val="26"/>
          <w:rtl w:val="true"/>
        </w:rPr>
        <w:t>₪</w:t>
      </w:r>
      <w:r>
        <w:rPr>
          <w:rFonts w:cs="Calibri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</w:rPr>
        <w:t>שישולם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120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מהיום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 w:before="0" w:after="240"/>
        <w:ind w:hanging="360" w:start="107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מותנה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18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חודשי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מאסר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באם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יעבור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עבירה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שבה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הורשע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בתיק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זה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בשלוש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השנים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מאז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שחרורו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ממאסר</w:t>
      </w:r>
      <w:r>
        <w:rPr>
          <w:rFonts w:cs="Calibri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240"/>
        <w:ind w:start="366" w:end="0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 w:val="26"/>
          <w:szCs w:val="26"/>
          <w:rtl w:val="true"/>
        </w:rPr>
        <w:t>זכות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ערעור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לבית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המשפט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העליון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בתוך</w:t>
      </w:r>
      <w:r>
        <w:rPr>
          <w:rFonts w:ascii="Calibri" w:hAnsi="Calibri" w:cs="Calibri"/>
          <w:sz w:val="26"/>
          <w:sz w:val="26"/>
          <w:szCs w:val="26"/>
          <w:rtl w:val="true"/>
        </w:rPr>
        <w:t xml:space="preserve"> </w:t>
      </w:r>
      <w:r>
        <w:rPr>
          <w:rFonts w:cs="Calibri" w:ascii="Calibri" w:hAnsi="Calibri"/>
          <w:sz w:val="26"/>
          <w:szCs w:val="26"/>
        </w:rPr>
        <w:t>45</w:t>
      </w:r>
      <w:r>
        <w:rPr>
          <w:rFonts w:cs="Calibri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</w:rPr>
        <w:t>יום</w:t>
      </w:r>
      <w:r>
        <w:rPr>
          <w:rFonts w:cs="Calibri" w:ascii="Calibri" w:hAnsi="Calibri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cs="FrankRuehl" w:ascii="Arial" w:hAnsi="Arial"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269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end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גרינברגר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בן ציון גרינברגר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57220-05-15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עבאסי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366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6" w:hanging="360"/>
      </w:pPr>
      <w:rPr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David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stParagraphChar">
    <w:name w:val="List Paragraph Char"/>
    <w:qFormat/>
    <w:rPr>
      <w:rFonts w:ascii="Calibri" w:hAnsi="Calibri" w:cs="Arial"/>
      <w:sz w:val="22"/>
      <w:szCs w:val="22"/>
      <w:lang w:val="en-US" w:bidi="he-IL"/>
    </w:rPr>
  </w:style>
  <w:style w:type="character" w:styleId="QuoteChar">
    <w:name w:val="Quote Char"/>
    <w:qFormat/>
    <w:rPr>
      <w:rFonts w:ascii="Calibri" w:hAnsi="Calibri" w:cs="David"/>
      <w:sz w:val="26"/>
      <w:szCs w:val="26"/>
      <w:lang w:val="en-US" w:bidi="he-IL"/>
    </w:rPr>
  </w:style>
  <w:style w:type="character" w:styleId="Style1Char">
    <w:name w:val="Style1 Char"/>
    <w:qFormat/>
    <w:rPr>
      <w:rFonts w:ascii="Calibri" w:hAnsi="Calibri" w:cs="David"/>
      <w:sz w:val="26"/>
      <w:szCs w:val="26"/>
      <w:lang w:val="en-US" w:bidi="he-IL"/>
    </w:rPr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240"/>
      <w:ind w:hanging="0" w:start="720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Style11">
    <w:name w:val="Style1"/>
    <w:basedOn w:val="ListParagraph"/>
    <w:qFormat/>
    <w:pPr>
      <w:numPr>
        <w:ilvl w:val="0"/>
        <w:numId w:val="4"/>
      </w:numPr>
      <w:spacing w:before="0" w:after="240"/>
      <w:ind w:hanging="0" w:start="6" w:end="0"/>
      <w:contextualSpacing w:val="false"/>
    </w:pPr>
    <w:rPr>
      <w:rFonts w:cs="David"/>
      <w:sz w:val="26"/>
      <w:szCs w:val="26"/>
    </w:rPr>
  </w:style>
  <w:style w:type="paragraph" w:styleId="Quote">
    <w:name w:val="Quote"/>
    <w:basedOn w:val="ListParagraph"/>
    <w:next w:val="Normal"/>
    <w:qFormat/>
    <w:pPr>
      <w:spacing w:lineRule="exact" w:line="280" w:before="0" w:after="360"/>
      <w:ind w:hanging="0" w:start="1368" w:end="1022"/>
      <w:contextualSpacing w:val="false"/>
    </w:pPr>
    <w:rPr>
      <w:rFonts w:cs="David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4.a.1." TargetMode="External"/><Relationship Id="rId8" Type="http://schemas.openxmlformats.org/officeDocument/2006/relationships/hyperlink" Target="http://www.nevo.co.il/law/70301/274.a.2." TargetMode="External"/><Relationship Id="rId9" Type="http://schemas.openxmlformats.org/officeDocument/2006/relationships/hyperlink" Target="http://www.nevo.co.il/law/70301/274.a.3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332.2" TargetMode="External"/><Relationship Id="rId12" Type="http://schemas.openxmlformats.org/officeDocument/2006/relationships/hyperlink" Target="http://www.nevo.co.il/law/70301/332.a.b" TargetMode="External"/><Relationship Id="rId13" Type="http://schemas.openxmlformats.org/officeDocument/2006/relationships/hyperlink" Target="http://www.nevo.co.il/law/70301/338.5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/40jc.b" TargetMode="External"/><Relationship Id="rId17" Type="http://schemas.openxmlformats.org/officeDocument/2006/relationships/hyperlink" Target="http://www.nevo.co.il/law/70301/448.a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/332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2.a.b" TargetMode="External"/><Relationship Id="rId22" Type="http://schemas.openxmlformats.org/officeDocument/2006/relationships/hyperlink" Target="http://www.nevo.co.il/law/70301/332.a.b" TargetMode="External"/><Relationship Id="rId23" Type="http://schemas.openxmlformats.org/officeDocument/2006/relationships/hyperlink" Target="http://www.nevo.co.il/law/70301/448.a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338.5" TargetMode="External"/><Relationship Id="rId28" Type="http://schemas.openxmlformats.org/officeDocument/2006/relationships/hyperlink" Target="http://www.nevo.co.il/law/70301/274.a.1.;274.a.2.;274.a.3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152" TargetMode="External"/><Relationship Id="rId31" Type="http://schemas.openxmlformats.org/officeDocument/2006/relationships/hyperlink" Target="http://www.nevo.co.il/law/70301/452" TargetMode="External"/><Relationship Id="rId32" Type="http://schemas.openxmlformats.org/officeDocument/2006/relationships/hyperlink" Target="http://www.nevo.co.il/law/70301/452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/448.a" TargetMode="External"/><Relationship Id="rId35" Type="http://schemas.openxmlformats.org/officeDocument/2006/relationships/hyperlink" Target="http://www.nevo.co.il/case/5603159" TargetMode="External"/><Relationship Id="rId36" Type="http://schemas.openxmlformats.org/officeDocument/2006/relationships/hyperlink" Target="http://www.nevo.co.il/case/13104258" TargetMode="External"/><Relationship Id="rId37" Type="http://schemas.openxmlformats.org/officeDocument/2006/relationships/hyperlink" Target="http://www.nevo.co.il/case/16902558" TargetMode="External"/><Relationship Id="rId38" Type="http://schemas.openxmlformats.org/officeDocument/2006/relationships/hyperlink" Target="http://www.nevo.co.il/case/20391866" TargetMode="External"/><Relationship Id="rId39" Type="http://schemas.openxmlformats.org/officeDocument/2006/relationships/hyperlink" Target="http://www.nevo.co.il/case/20888243" TargetMode="External"/><Relationship Id="rId40" Type="http://schemas.openxmlformats.org/officeDocument/2006/relationships/hyperlink" Target="http://www.nevo.co.il/case/13093721" TargetMode="External"/><Relationship Id="rId41" Type="http://schemas.openxmlformats.org/officeDocument/2006/relationships/hyperlink" Target="http://www.nevo.co.il/case/17023776" TargetMode="External"/><Relationship Id="rId42" Type="http://schemas.openxmlformats.org/officeDocument/2006/relationships/hyperlink" Target="http://www.nevo.co.il/law/70301/40jc" TargetMode="External"/><Relationship Id="rId43" Type="http://schemas.openxmlformats.org/officeDocument/2006/relationships/hyperlink" Target="http://www.nevo.co.il/case/17009738" TargetMode="External"/><Relationship Id="rId44" Type="http://schemas.openxmlformats.org/officeDocument/2006/relationships/hyperlink" Target="http://www.nevo.co.il/case/20009883" TargetMode="External"/><Relationship Id="rId45" Type="http://schemas.openxmlformats.org/officeDocument/2006/relationships/hyperlink" Target="http://www.nevo.co.il/case/6859579" TargetMode="External"/><Relationship Id="rId46" Type="http://schemas.openxmlformats.org/officeDocument/2006/relationships/hyperlink" Target="http://www.nevo.co.il/law/70301/332.a.b" TargetMode="External"/><Relationship Id="rId47" Type="http://schemas.openxmlformats.org/officeDocument/2006/relationships/hyperlink" Target="http://www.nevo.co.il/case/5603159" TargetMode="External"/><Relationship Id="rId48" Type="http://schemas.openxmlformats.org/officeDocument/2006/relationships/hyperlink" Target="http://www.nevo.co.il/case/13104258" TargetMode="External"/><Relationship Id="rId49" Type="http://schemas.openxmlformats.org/officeDocument/2006/relationships/hyperlink" Target="http://www.nevo.co.il/law/70301/40i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40jc.b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2017-01-10T13:53:00Z</dcterms:created>
  <dc:creator> </dc:creator>
  <dc:description/>
  <cp:keywords/>
  <dc:language>en-IL</dc:language>
  <cp:lastModifiedBy>Tali-a</cp:lastModifiedBy>
  <dcterms:modified xsi:type="dcterms:W3CDTF">2017-01-10T13:53:00Z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חמזה עבאסי</vt:lpwstr>
  </property>
  <property fmtid="{D5CDD505-2E9C-101B-9397-08002B2CF9AE}" pid="4" name="CASESLISTTMP1">
    <vt:lpwstr>5603159:2;13104258:2;16902558;20391866;20888243;13093721;17023776;17009738;20009883;6859579</vt:lpwstr>
  </property>
  <property fmtid="{D5CDD505-2E9C-101B-9397-08002B2CF9AE}" pid="5" name="CITY">
    <vt:lpwstr>י-ם</vt:lpwstr>
  </property>
  <property fmtid="{D5CDD505-2E9C-101B-9397-08002B2CF9AE}" pid="6" name="DATE">
    <vt:lpwstr>20160530</vt:lpwstr>
  </property>
  <property fmtid="{D5CDD505-2E9C-101B-9397-08002B2CF9AE}" pid="7" name="ISABSTRACT">
    <vt:lpwstr>Y</vt:lpwstr>
  </property>
  <property fmtid="{D5CDD505-2E9C-101B-9397-08002B2CF9AE}" pid="8" name="JUDGE">
    <vt:lpwstr>בן ציון גרינברגר</vt:lpwstr>
  </property>
  <property fmtid="{D5CDD505-2E9C-101B-9397-08002B2CF9AE}" pid="9" name="LAWLISTTMP1">
    <vt:lpwstr>70301/332.2;332.a.b:3;448.a:2;025:3;329.a.2;144.b2;338.5;274.a.1;274.a.2;274.a.3;152;452:2;40jc;040i;40ja;40jc.b</vt:lpwstr>
  </property>
  <property fmtid="{D5CDD505-2E9C-101B-9397-08002B2CF9AE}" pid="10" name="NEWPARTA">
    <vt:lpwstr>57220</vt:lpwstr>
  </property>
  <property fmtid="{D5CDD505-2E9C-101B-9397-08002B2CF9AE}" pid="11" name="NEWPARTB">
    <vt:lpwstr>05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390020160530</vt:lpwstr>
  </property>
  <property fmtid="{D5CDD505-2E9C-101B-9397-08002B2CF9AE}" pid="17" name="TYPE_N_DATE">
    <vt:lpwstr>39020160530</vt:lpwstr>
  </property>
  <property fmtid="{D5CDD505-2E9C-101B-9397-08002B2CF9AE}" pid="18" name="WORDNUMPAGES">
    <vt:lpwstr>15</vt:lpwstr>
  </property>
</Properties>
</file>