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6"/>
        <w:gridCol w:w="241"/>
        <w:gridCol w:w="3587"/>
      </w:tblGrid>
      <w:tr>
        <w:trPr>
          <w:trHeight w:val="418" w:hRule="atLeast"/>
        </w:trPr>
        <w:tc>
          <w:tcPr>
            <w:tcW w:w="8504" w:type="dxa"/>
            <w:gridSpan w:val="3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67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</w:p>
        </w:tc>
        <w:tc>
          <w:tcPr>
            <w:tcW w:w="24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587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/>
            </w:pPr>
            <w:r>
              <w:rPr>
                <w:b/>
                <w:bCs/>
              </w:rPr>
              <w:t>29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2021</w:t>
            </w:r>
          </w:p>
          <w:p>
            <w:pPr>
              <w:pStyle w:val="Header"/>
              <w:tabs>
                <w:tab w:val="clear" w:pos="720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57272-12-20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מטטוב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tbl>
      <w:tblPr>
        <w:bidiVisual w:val="true"/>
        <w:tblW w:w="85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164"/>
        <w:gridCol w:w="628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46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22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5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222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אליק מטטוב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#1#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rFonts w:ascii="David" w:hAnsi="David" w:cs="David"/>
          <w:u w:val="none"/>
        </w:rPr>
      </w:pPr>
      <w:r>
        <w:rPr>
          <w:rFonts w:ascii="David" w:hAnsi="David"/>
          <w:u w:val="none"/>
          <w:rtl w:val="true"/>
        </w:rPr>
        <w:t>נוכחים</w:t>
      </w:r>
      <w:r>
        <w:rPr>
          <w:rFonts w:cs="David" w:ascii="David" w:hAnsi="David"/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rFonts w:ascii="David" w:hAnsi="David" w:cs="David"/>
          <w:b w:val="false"/>
          <w:bCs w:val="false"/>
          <w:u w:val="none"/>
        </w:rPr>
      </w:pPr>
      <w:bookmarkStart w:id="3" w:name="FirstLawyer"/>
      <w:r>
        <w:rPr>
          <w:rFonts w:ascii="David" w:hAnsi="David"/>
          <w:b w:val="false"/>
          <w:b w:val="false"/>
          <w:bCs w:val="false"/>
          <w:u w:val="none"/>
          <w:rtl w:val="true"/>
        </w:rPr>
        <w:t>ב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/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rFonts w:ascii="David" w:hAnsi="David"/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/>
          <w:b w:val="false"/>
          <w:b w:val="false"/>
          <w:bCs w:val="false"/>
          <w:u w:val="none"/>
          <w:rtl w:val="true"/>
        </w:rPr>
        <w:t>עו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/>
          <w:b w:val="false"/>
          <w:b w:val="false"/>
          <w:bCs w:val="false"/>
          <w:u w:val="none"/>
          <w:rtl w:val="true"/>
        </w:rPr>
        <w:t>ד דבי מזור</w:t>
      </w:r>
    </w:p>
    <w:p>
      <w:pPr>
        <w:pStyle w:val="12"/>
        <w:spacing w:lineRule="auto" w:line="360"/>
        <w:ind w:end="0"/>
        <w:jc w:val="start"/>
        <w:rPr>
          <w:rFonts w:ascii="David" w:hAnsi="David" w:cs="David"/>
          <w:b w:val="false"/>
          <w:bCs w:val="false"/>
          <w:u w:val="none"/>
        </w:rPr>
      </w:pPr>
      <w:r>
        <w:rPr>
          <w:rFonts w:ascii="David" w:hAnsi="David"/>
          <w:b w:val="false"/>
          <w:b w:val="false"/>
          <w:bCs w:val="false"/>
          <w:u w:val="none"/>
          <w:rtl w:val="true"/>
        </w:rPr>
        <w:t>הנאשם ובא</w:t>
      </w:r>
      <w:r>
        <w:rPr>
          <w:rFonts w:cs="David" w:ascii="David" w:hAnsi="David"/>
          <w:b w:val="false"/>
          <w:bCs w:val="false"/>
          <w:u w:val="none"/>
          <w:rtl w:val="true"/>
        </w:rPr>
        <w:t>-</w:t>
      </w:r>
      <w:r>
        <w:rPr>
          <w:rFonts w:ascii="David" w:hAnsi="David"/>
          <w:b w:val="false"/>
          <w:b w:val="false"/>
          <w:bCs w:val="false"/>
          <w:u w:val="none"/>
          <w:rtl w:val="true"/>
        </w:rPr>
        <w:t>כוחו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, </w:t>
      </w:r>
      <w:r>
        <w:rPr>
          <w:rFonts w:ascii="David" w:hAnsi="David"/>
          <w:b w:val="false"/>
          <w:b w:val="false"/>
          <w:bCs w:val="false"/>
          <w:u w:val="none"/>
          <w:rtl w:val="true"/>
        </w:rPr>
        <w:t>עו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/>
          <w:b w:val="false"/>
          <w:b w:val="false"/>
          <w:bCs w:val="false"/>
          <w:u w:val="none"/>
          <w:rtl w:val="true"/>
        </w:rPr>
        <w:t xml:space="preserve">ד עידו פורת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  <w:u w:val="none"/>
        </w:rPr>
      </w:pPr>
      <w:r>
        <w:rPr>
          <w:rFonts w:cs="FrankRuehl" w:ascii="FrankRuehl" w:hAnsi="FrankRuehl"/>
          <w:b/>
          <w:bCs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67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u w:val="single"/>
        </w:rPr>
      </w:pPr>
      <w:bookmarkStart w:id="9" w:name="PsakDin"/>
      <w:bookmarkEnd w:id="9"/>
      <w:r>
        <w:rPr>
          <w:rFonts w:ascii="David" w:hAnsi="David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0" w:name="ABSTRACT_START"/>
      <w:bookmarkEnd w:id="10"/>
      <w:r>
        <w:rPr>
          <w:rFonts w:ascii="David" w:hAnsi="David"/>
          <w:rtl w:val="true"/>
        </w:rPr>
        <w:t>בטרם שמיעת הראיות 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הצדדים להסדר טיעון במסגרתו כתב האישום שהוגש נגד הנאשם 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הודה בעובדות כתב האישום המתוקן שאלה הם עיקריהן</w:t>
      </w:r>
      <w:r>
        <w:rPr>
          <w:rFonts w:cs="David" w:ascii="David" w:hAnsi="David"/>
          <w:rtl w:val="true"/>
        </w:rPr>
        <w:t>:-</w:t>
        <w:tab/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במועדי האירועים המתוארים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היה פסול לנהיגה על פי החלטה שיפוטית שניתנה 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10555-02-14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bookmarkStart w:id="11" w:name="ABSTRACT_END"/>
      <w:bookmarkEnd w:id="11"/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במשך תקופה שתחילתה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לכל הפחות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17.11.20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10.12.20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אחר או אחרים החזיקו בתוך תא מטען של רכב שחנה באשדוד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בכלי נשק ובאביזרי נשק שבכוחם להרוג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כדלהלן </w:t>
      </w:r>
      <w:r>
        <w:rPr>
          <w:rFonts w:cs="David" w:ascii="David" w:hAnsi="David"/>
          <w:rtl w:val="true"/>
        </w:rPr>
        <w:t xml:space="preserve">-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תיק גב שחור ובו שני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האחד מסוג ברטה ובתוכו מחסנית תואמת ובה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תואמים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והשני מסוג </w:t>
      </w:r>
      <w:r>
        <w:rPr>
          <w:rFonts w:cs="David" w:ascii="David" w:hAnsi="David"/>
        </w:rPr>
        <w:t>RETAY P114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ובתוכו מחסנית תואמת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וכן נרתיק לאקדח ובו רימון יד מספר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נפיץ 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רסס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קופסה ובה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 אקדחים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האחד </w:t>
      </w:r>
      <w:r>
        <w:rPr>
          <w:rFonts w:cs="David" w:ascii="David" w:hAnsi="David"/>
        </w:rPr>
        <w:t>CZ</w:t>
      </w:r>
      <w:r>
        <w:rPr>
          <w:rFonts w:cs="David" w:ascii="David" w:hAnsi="David"/>
        </w:rPr>
        <w:t xml:space="preserve"> 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ובתוכו מחסנית תואמת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והשני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ובתוכו מחסנית תואמת ובה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רובה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ניקוב </w:t>
      </w:r>
      <w:r>
        <w:rPr>
          <w:rFonts w:cs="David" w:ascii="David" w:hAnsi="David"/>
        </w:rPr>
        <w:t>3624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ידית אחיזה ומתפסים ושתי מחסניות ריקות תואמות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תיק גדול ובו רובה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 עם 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ידית אחיזה ומתפסים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23.11.20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17:40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הגיע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את תא המטען שלו למשך שניות ספורות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סגר אותו ועזב את 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וזמן קצר לאחר מכן חזר למקום יחד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שפתח גם הוא את תא המטען של הרכב למשך שניות ספורות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ואז שניהם עזבו את המקום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04.12.20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12:38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לבקשת אחד 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נכנס לרכב שבו 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בו מרחק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והחנה אותו בחניית עפר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וביום </w:t>
      </w:r>
      <w:r>
        <w:rPr>
          <w:rFonts w:cs="David" w:ascii="David" w:hAnsi="David"/>
        </w:rPr>
        <w:t>10.12.20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לבקשת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הגיע לרכב וצילם אותו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10.12.20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23:40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שוטרים ביצעו חיפוש ברכב ותפסו בתא המטען שלו את כלי הנשק והאביזרים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בבדיקת כלי הנשק נמצא כי הם אינם תקינים לשימוש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יסוד הודאת הנאשם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הורשע בעבירות של נשיאת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rtl w:val="true"/>
        </w:rPr>
        <w:t>סיוע להחזקת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hyperlink r:id="rId14">
        <w:r>
          <w:rPr>
            <w:rStyle w:val="Hyperlink"/>
            <w:rFonts w:ascii="David" w:hAnsi="David"/>
            <w:rtl w:val="true"/>
          </w:rPr>
          <w:t xml:space="preserve">וסעיף </w:t>
        </w:r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נהיגה בזמן 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67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ונהיגה ללא ביטוח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8">
        <w:r>
          <w:rPr>
            <w:rStyle w:val="Hyperlink"/>
            <w:rFonts w:ascii="David" w:hAnsi="David"/>
            <w:rtl w:val="true"/>
          </w:rPr>
          <w:t xml:space="preserve">פקודת רכב מנועי </w:t>
        </w:r>
        <w:r>
          <w:rPr>
            <w:rStyle w:val="Hyperlink"/>
            <w:rFonts w:cs="David" w:ascii="David" w:hAnsi="David"/>
            <w:rtl w:val="true"/>
          </w:rPr>
          <w:t>[</w:t>
        </w:r>
        <w:r>
          <w:rPr>
            <w:rStyle w:val="Hyperlink"/>
            <w:rFonts w:ascii="David" w:hAnsi="David"/>
            <w:rtl w:val="true"/>
          </w:rPr>
          <w:t>נוסח חדש</w:t>
        </w:r>
        <w:r>
          <w:rPr>
            <w:rStyle w:val="Hyperlink"/>
            <w:rFonts w:cs="David" w:ascii="David" w:hAnsi="David"/>
            <w:rtl w:val="true"/>
          </w:rPr>
          <w:t>]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במסגרת הסדר הטיעון בין הצדדים הוסכם שהמאשימה תעתור להטיל על הנאשם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פסילת רישיון נהיגה בפועל ועל תנאי וקנס כספי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וההגנה תטען לעונש כראות עיניה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והוסכם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שההגנה תטען שהנאשם לא יכל להשמיש את 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בעצמו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והמאשימה לא תביא ראיות לסתור טענה זו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 כי הפעילות שהתגלתה במקרה זה הינה פעילות עבריינית בעלת פוטנציאל סיכון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קשיים ואילוצים שונים הביאו לכך שכתב האישום יתוקן כפי שהוא 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וציינה שעובדות כתב האישום משקפות את הראיות הקיימות נגד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כבר במהלך החקירה הסמויה שנוהלה בפרשה זו היה ברור שהנאשם נמצא בחלק התחתון בשרשרת ההיררכית של המעורבים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ושבסופו של דבר המשטרה לא הצליחה להניח את ידה על המעורבים העיקריים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וציינה שהמעורב המרכזי עזב את הארץ והוא נמצא באוקראינה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והוסיפה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במצב הדברים שנוצר ומפאת השמירה על ענייני חיסיון ופרטי חקירה רלוונטים ועל רקע קיומם של מעורבים שטרם נחקרו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מנועה מלהציג פרטים נוספים הנוגעים לענין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ציינה שהנאשם ידע בוודאות שברכב נמצא רובה אחד ועצם עיניים לאפשרות שישנם ברכב כלי נשק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צילם את הרכב עבור המעורב שנמצא בחו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טענה כי בנסיבות הכוללות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 אליו היא עותרת ראוי ומשקף את חומרת 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וביקשה להטיל על 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 ועונשים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טען שמדובר בתיק מורכב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שרב הנסתר בו על הגלוי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ושבנסיבות אלה כל צד שקל את הסיכוי והסיכון וכך הושג הסדר הטיעון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הדגיש שנהיגת הנאשם ברכב ובו כלי הנשק היתה למרחק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שכלי הנשק שנתפסו לא היו שמישים והנאשם לא יכל לתקנם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ושהנאשם נמצא בתחתית שרשרת המעורבים בפרשה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ציין את הודאת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רצונו להקים משפחה ומצבה הרפואי של אמו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טען כי הסף התחתון של מתחם העונש ההולם כאן הוא שנת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להטיל על הנאשם עונש הקרוב לתחתית המתחם שנטען וקנס מתון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אמר כי למרות שביצע בעבר עבירות הוא רוצה לשקם את 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ושהמדובר בברזל לא תקין שהוא כלל לא יודע להשתמש 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אמו של הנאשם ובת זוגו העידו לטובתו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האם מסרה שהיא חולה בסרטן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ובנה הוא המשפחה היחידה שיש לה בישראל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וביקשה להתחשב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ובת הזוג סיפרה שהיא והנאשם תכננו להתחתן וביקשה להתחשב בנאשם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דיון והכרעה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כמות וסוג כלי הנשק שהוחזקו ברכב – ארבעה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רימון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ושני רובי קלצניקוב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מחסניות וכדורים תואמים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משווים לאירוע חומרה רבה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הסכנה הכרוכה בהחזקת כלי נשק מסוג ובכמות האלה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ברורה מאליה ואינה צריכה פירוט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העובדה שכלי הנשק לא היו תקינים ושהנאשם עצמו לא יכלה לתקנם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אמנם מונעת הפעלה מידית של 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ומבחינה זו מפחיתה במידת מה את הסכנה שבמצב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לעשות בכלי נשק כאלה שימוש מאיים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ובאופן כללי ניתן להשמיש כלי נשק בלתי תקינים בהחלפת מכלולים נדרשים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שהסכנה העיקרית מהחזקת כלי הנשק עומדת בעינה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הערכים החברתיים המוגנים בעבירות הנשק נוגעים לשמירת החיים והגוף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ושמירת הסדר הציבורי ובטחון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ומידת הפגיעה בהם במקרה זה נוכח סוג וכמות הנשק הינה משמעותית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מדיניות הענישה הנהוגה בעבירות הנשק הינה מימים ימימה של רצינות וחומרה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ריבוי עבירות הנשק והפגיעה הקשה שלהן בציבור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הקול העקבי היוצא מפסיקת בית המשפט העליון הינו של חומרה מובהקת והחרפת 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 w:cs="Times New Roman"/>
          <w:color w:val="000000"/>
          <w:rtl w:val="true"/>
        </w:rPr>
        <w:t>סעיף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cs="Times New Roman" w:ascii="David" w:hAnsi="David"/>
          <w:color w:val="000000"/>
        </w:rPr>
        <w:t>144</w:t>
      </w:r>
      <w:r>
        <w:rPr>
          <w:rFonts w:cs="Times New Roman" w:ascii="David" w:hAnsi="David"/>
          <w:color w:val="000000"/>
          <w:rtl w:val="true"/>
        </w:rPr>
        <w:t>(</w:t>
      </w:r>
      <w:r>
        <w:rPr>
          <w:rFonts w:ascii="David" w:hAnsi="David" w:cs="Times New Roman"/>
          <w:color w:val="000000"/>
          <w:rtl w:val="true"/>
        </w:rPr>
        <w:t>ב</w:t>
      </w:r>
      <w:r>
        <w:rPr>
          <w:rFonts w:cs="Times New Roman" w:ascii="David" w:hAnsi="David"/>
          <w:color w:val="000000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9"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חוק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העונשין</w:t>
        </w:r>
      </w:hyperlink>
      <w:r>
        <w:rPr>
          <w:rFonts w:ascii="David" w:hAnsi="David"/>
          <w:rtl w:val="true"/>
        </w:rPr>
        <w:t xml:space="preserve"> אוסר על נשיאה או הובלה של 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בלא רשות על פי דין</w:t>
      </w:r>
      <w:r>
        <w:rPr>
          <w:rFonts w:cs="David" w:ascii="David" w:hAnsi="David"/>
          <w:b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האיסור נועד להגן על ערך חיי האדם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 גופו ונפשו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לקדם את השמירה על הסדר הציבורי ואורח חיים 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שלו ובטוח </w:t>
      </w:r>
      <w:r>
        <w:rPr>
          <w:rFonts w:cs="David" w:ascii="David" w:hAnsi="David"/>
          <w:rtl w:val="true"/>
        </w:rPr>
        <w:t>(</w:t>
      </w:r>
      <w:hyperlink r:id="rId20"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מדינת ישראל נ</w:t>
      </w:r>
      <w:r>
        <w:rPr>
          <w:rFonts w:cs="David" w:ascii="David" w:hAnsi="David"/>
          <w:b/>
          <w:rtl w:val="true"/>
        </w:rPr>
        <w:t xml:space="preserve">' </w:t>
      </w:r>
      <w:r>
        <w:rPr>
          <w:rFonts w:ascii="David" w:hAnsi="David"/>
          <w:b/>
          <w:b/>
          <w:rtl w:val="true"/>
        </w:rPr>
        <w:t>ביטון</w:t>
      </w:r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14.02.2021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b/>
          <w:b/>
          <w:rtl w:val="true"/>
        </w:rPr>
        <w:t xml:space="preserve"> ביטון</w:t>
      </w:r>
      <w:r>
        <w:rPr>
          <w:rFonts w:cs="David" w:ascii="David" w:hAnsi="David"/>
          <w:rtl w:val="true"/>
        </w:rPr>
        <w:t xml:space="preserve">); </w:t>
      </w:r>
      <w:hyperlink r:id="rId21"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David" w:hAnsi="David"/>
            <w:color w:val="0000FF"/>
            <w:u w:val="single"/>
          </w:rPr>
          <w:t>8017/20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מדינת ישראל נ</w:t>
      </w:r>
      <w:r>
        <w:rPr>
          <w:rFonts w:cs="David" w:ascii="David" w:hAnsi="David"/>
          <w:b/>
          <w:rtl w:val="true"/>
        </w:rPr>
        <w:t xml:space="preserve">' </w:t>
      </w:r>
      <w:r>
        <w:rPr>
          <w:rFonts w:ascii="David" w:hAnsi="David"/>
          <w:b/>
          <w:b/>
          <w:rtl w:val="true"/>
        </w:rPr>
        <w:t>גריפאת</w:t>
      </w:r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22.12.2020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rtl w:val="true"/>
        </w:rPr>
        <w:t>גריפאת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עבירה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יתר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נועדה למנוע התנהגות מסוכנת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ולמזער את הפוטנציאל לגרימת נזקים חמורים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 של 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הריהי לעיתים רק הסנונית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בואכה מעשים חמורים יותר – חבלה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שוד מזוין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וכיוצא באלה </w:t>
      </w:r>
      <w:r>
        <w:rPr>
          <w:rFonts w:cs="David" w:ascii="David" w:hAnsi="David"/>
          <w:rtl w:val="true"/>
        </w:rPr>
        <w:t>(</w:t>
      </w:r>
      <w:hyperlink r:id="rId22"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מדינת ישראל נ</w:t>
      </w:r>
      <w:r>
        <w:rPr>
          <w:rFonts w:cs="David" w:ascii="David" w:hAnsi="David"/>
          <w:b/>
          <w:rtl w:val="true"/>
        </w:rPr>
        <w:t xml:space="preserve">' </w:t>
      </w:r>
      <w:r>
        <w:rPr>
          <w:rFonts w:ascii="David" w:hAnsi="David"/>
          <w:b/>
          <w:b/>
          <w:rtl w:val="true"/>
        </w:rPr>
        <w:t>סובח</w:t>
      </w:r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 xml:space="preserve">פסק דינו של השופט </w:t>
      </w:r>
      <w:r>
        <w:rPr>
          <w:rFonts w:ascii="David" w:hAnsi="David"/>
          <w:b/>
          <w:b/>
          <w:rtl w:val="true"/>
        </w:rPr>
        <w:t>מ</w:t>
      </w:r>
      <w:r>
        <w:rPr>
          <w:rFonts w:cs="David" w:ascii="David" w:hAnsi="David"/>
          <w:b/>
          <w:rtl w:val="true"/>
        </w:rPr>
        <w:t xml:space="preserve">' </w:t>
      </w:r>
      <w:r>
        <w:rPr>
          <w:rFonts w:ascii="David" w:hAnsi="David"/>
          <w:b/>
          <w:b/>
          <w:rtl w:val="true"/>
        </w:rPr>
        <w:t>מזוז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5.11.2019</w:t>
      </w:r>
      <w:r>
        <w:rPr>
          <w:rFonts w:cs="David" w:ascii="David" w:hAnsi="David"/>
          <w:rtl w:val="true"/>
        </w:rPr>
        <w:t xml:space="preserve">); </w:t>
      </w:r>
      <w:hyperlink r:id="rId23"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David" w:hAnsi="David"/>
            <w:color w:val="0000FF"/>
            <w:u w:val="single"/>
          </w:rPr>
          <w:t>116/13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וקנין נ</w:t>
      </w:r>
      <w:r>
        <w:rPr>
          <w:rFonts w:cs="David" w:ascii="David" w:hAnsi="David"/>
          <w:b/>
          <w:rtl w:val="true"/>
        </w:rPr>
        <w:t xml:space="preserve">' </w:t>
      </w:r>
      <w:r>
        <w:rPr>
          <w:rFonts w:ascii="David" w:hAnsi="David"/>
          <w:b/>
          <w:b/>
          <w:rtl w:val="true"/>
        </w:rPr>
        <w:t>מדינת ישראל</w:t>
      </w:r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31.7.2013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אחת 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למרבה הצער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האיסור שבדין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הפכה תופעת השימוש בנשק חם למכת 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לשם הרתעה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ניכרת בפסיקה מגמה של החמרה הדרגתית בענישה על עבירות הנשק </w:t>
      </w:r>
      <w:r>
        <w:rPr>
          <w:rFonts w:cs="David" w:ascii="David" w:hAnsi="David"/>
          <w:rtl w:val="true"/>
        </w:rPr>
        <w:t>(</w:t>
      </w:r>
      <w:hyperlink r:id="rId24"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David" w:hAnsi="David"/>
            <w:color w:val="0000FF"/>
            <w:u w:val="single"/>
          </w:rPr>
          <w:t>5807/20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שיבלי נ</w:t>
      </w:r>
      <w:r>
        <w:rPr>
          <w:rFonts w:cs="David" w:ascii="David" w:hAnsi="David"/>
          <w:b/>
          <w:rtl w:val="true"/>
        </w:rPr>
        <w:t xml:space="preserve">' </w:t>
      </w:r>
      <w:r>
        <w:rPr>
          <w:rFonts w:ascii="David" w:hAnsi="David"/>
          <w:b/>
          <w:b/>
          <w:rtl w:val="true"/>
        </w:rPr>
        <w:t>מדינת ישראל</w:t>
      </w:r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30.12.2020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rtl w:val="true"/>
        </w:rPr>
        <w:t>שיבלי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rtl w:val="true"/>
        </w:rPr>
        <w:t>ביטון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rtl w:val="true"/>
        </w:rPr>
        <w:t>גריפאת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לעיתים 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השעה צריכה לכך</w:t>
      </w:r>
      <w:r>
        <w:rPr>
          <w:rFonts w:cs="David" w:ascii="David" w:hAnsi="David"/>
          <w:b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בבלי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סנהדרין 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)-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5522-20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נזאר חלייחל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24/02/21</w:t>
      </w:r>
      <w:r>
        <w:rPr>
          <w:rFonts w:cs="David" w:ascii="David" w:hAnsi="David"/>
          <w:rtl w:val="true"/>
        </w:rPr>
        <w:t>)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David" w:ascii="David" w:hAnsi="David"/>
          <w:rtl w:val="true"/>
        </w:rPr>
        <w:t xml:space="preserve">"... </w:t>
      </w:r>
      <w:r>
        <w:rPr>
          <w:rFonts w:ascii="David" w:hAnsi="David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מבקר המדינה </w:t>
      </w:r>
      <w:r>
        <w:rPr>
          <w:rFonts w:ascii="David" w:hAnsi="David"/>
          <w:b/>
          <w:b/>
          <w:rtl w:val="true"/>
        </w:rPr>
        <w:t>התמודדות משטרת ישראל עם החזקת אמצעי לחימה לא חוקיים ואירועי ירי ביישובי החברה הערבית וביישובים מעורבים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על רקע המציאות אותה אנו חווים למרבה הצער מדי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זה לא נותר אדיש למול השימוש הגובר בנשק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והדגיש לא אחת את הצורך בענישה מחמירה ומרתיעה כלפי השימוש בו לשם פתרון סכסוכים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במיוחד כאשר השימוש בו נעשה בסביבת בתי מגורים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בהתאם לכך ולנוכח ריבוי מקרי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לנקוט במדיניות ענישה מחמירה כלפי ביצוע עבירות החזקת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אחת כמה וכמה שימוש בנשק חם ופציעתם של קורבנות שונים עקב כך</w:t>
      </w:r>
      <w:r>
        <w:rPr>
          <w:rFonts w:cs="David" w:ascii="David" w:hAnsi="David"/>
          <w:rtl w:val="true"/>
        </w:rPr>
        <w:t xml:space="preserve">.. </w:t>
      </w:r>
      <w:r>
        <w:rPr>
          <w:rFonts w:ascii="David" w:hAnsi="David"/>
          <w:rtl w:val="true"/>
        </w:rPr>
        <w:t>הצורך במדיניות ענישה מחמירה נחוץ במיוחד כאשר השימוש בנשק גורר פגיעה בגוף ובנפש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וכאשר מבצעי העבירות אינם מוסרים את כלי הנשק לידי רשויות החוק – ובכך מוסיפים לפגוע בביטחון הציבור וקיים חשש תמידי לשימוש עברייני חוזר בנשק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להגעתו של נשק זה לגורמים עויינים ובכללם גורמי טרור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נמצא אפוא כי בנסיבות דהיום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ונכון להחמיר את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בין היתר על מנת להרתיע עבריינים פוטנציאליים משימוש בו כאמצעי ליישוב סכסוכים</w:t>
      </w:r>
      <w:r>
        <w:rPr>
          <w:rFonts w:cs="David" w:ascii="David" w:hAnsi="David"/>
          <w:rtl w:val="true"/>
        </w:rPr>
        <w:t xml:space="preserve">."-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יונס סובח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05/11/19</w:t>
      </w:r>
      <w:r>
        <w:rPr>
          <w:rFonts w:cs="David" w:ascii="David" w:hAnsi="David"/>
          <w:rtl w:val="true"/>
        </w:rPr>
        <w:t>)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הלכה 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 המשפט מטילים עונשי מאסר משמעותיים גם על נאשמים שהחזיקו נשק עבור אחרים או לזמן קצר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4133-01-20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עבד אלמנעם אל סנע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06.05.21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הנאשם הורשע בעבירה של הובלת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הוא הוביל ברכב עבור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נשק מסוג תת מקלע מאולתר עם מחסנית וכדורים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מתחם העונש ההולם נע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והטיל על הנאשם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נגד</w:t>
      </w:r>
      <w:r>
        <w:rPr>
          <w:rFonts w:ascii="David" w:hAnsi="David"/>
          <w:b/>
          <w:b/>
          <w:bCs/>
          <w:rtl w:val="true"/>
        </w:rPr>
        <w:t xml:space="preserve"> סמיר בסל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(‏</w:t>
      </w:r>
      <w:r>
        <w:rPr>
          <w:rFonts w:cs="David" w:ascii="David" w:hAnsi="David"/>
        </w:rPr>
        <w:t>08.03.2017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דובר במשיב שקרוב משפחתו רכש תת מקלע מאולתר ומחסנית וביקש ממנו לקחת את הנשק ולהחביאו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קיבל לידיו את הנשק והתחמושת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הובילם למקום מסתור והחזיק אותם שם כשבוע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קרוב משפחה אחר ביקש לקבל את הנשק לידיו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הופנה למשיב וקיבל ממנו את תת המקלע והמחסנית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 xml:space="preserve">בית המשפט המחוזי קבע כי </w:t>
      </w:r>
      <w:r>
        <w:rPr>
          <w:rFonts w:ascii="David" w:hAnsi="David"/>
          <w:b/>
          <w:b/>
          <w:bCs/>
          <w:rtl w:val="true"/>
        </w:rPr>
        <w:t xml:space="preserve">מתחם העונש ההולם נע בין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וגזר על המשיב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בית המשפט העליון החמיר בעונשו והעמידו על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4345/18</w:t>
        </w:r>
      </w:hyperlink>
      <w:r>
        <w:rPr>
          <w:rFonts w:cs="David" w:ascii="David" w:hAnsi="David"/>
          <w:b/>
          <w:bCs/>
          <w:rtl w:val="true"/>
        </w:rPr>
        <w:t xml:space="preserve"> ‏ </w:t>
      </w:r>
      <w:r>
        <w:rPr>
          <w:rFonts w:ascii="David" w:hAnsi="David"/>
          <w:b/>
          <w:b/>
          <w:bCs/>
          <w:rtl w:val="true"/>
        </w:rPr>
        <w:t xml:space="preserve">חמודא אבו עמאר </w:t>
      </w:r>
      <w:r>
        <w:rPr>
          <w:rFonts w:ascii="David" w:hAnsi="David"/>
          <w:rtl w:val="true"/>
        </w:rPr>
        <w:t>נגד</w:t>
      </w:r>
      <w:r>
        <w:rPr>
          <w:rFonts w:ascii="David" w:hAnsi="David"/>
          <w:b/>
          <w:b/>
          <w:bCs/>
          <w:rtl w:val="true"/>
        </w:rPr>
        <w:t xml:space="preserve">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29.11.2018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המערער הורשע בעבירות של נשיאת נשק ותחמושת ונהיגה בקלות ראש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נטען כי הוא </w:t>
      </w:r>
      <w:r>
        <w:rPr>
          <w:rFonts w:ascii="David" w:hAnsi="David"/>
          <w:b/>
          <w:b/>
          <w:bCs/>
          <w:rtl w:val="true"/>
        </w:rPr>
        <w:t>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נשק מאולתר מסוג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קרל גוסטב</w:t>
      </w:r>
      <w:r>
        <w:rPr>
          <w:rFonts w:cs="David" w:ascii="David" w:hAnsi="David"/>
          <w:b/>
          <w:bCs/>
          <w:rtl w:val="true"/>
        </w:rPr>
        <w:t>",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טעון במחסנית מלאה בעשרה כדורים תואמים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ובאותו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זמן קצר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את הנשק הטעון והובילו בתא הכפפות ברכבו בעיר לוד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הוא נוהג את רכבו במהירות ובחוסר זהירות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שוטרים אשר הבחינו בנהיגתו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כרזו לו לעצור את רכבו בצד הדרך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ובנסיבות אלה נתפס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 xml:space="preserve">בית המשפט המחוזי קבע כי </w:t>
      </w:r>
      <w:r>
        <w:rPr>
          <w:rFonts w:ascii="David" w:hAnsi="David"/>
          <w:b/>
          <w:b/>
          <w:bCs/>
          <w:rtl w:val="true"/>
        </w:rPr>
        <w:t xml:space="preserve">מתחם העונש ההולם נע בין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לקולא כי המערער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 אחריות על מעשיו בפני בית המשפט וחסך בזמן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מוכיח יציבות תעסוקתית ושיתוף פעולה עם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והוסיף כי המערער חושש משליחתו למאסר שכן ברור לו כי תהיה לכך השלכה על משפחתו ועל חייו כאדם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והטיל על המערער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 xml:space="preserve">בית המשפט העליון צין כי </w:t>
      </w:r>
      <w:r>
        <w:rPr>
          <w:rFonts w:ascii="David" w:hAnsi="David"/>
          <w:b/>
          <w:b/>
          <w:bCs/>
          <w:rtl w:val="true"/>
        </w:rPr>
        <w:t>אין מקום להתערב במתחם העונש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סבר כי יש להקל במעט בעונש שהוטל על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נוכח תסקירי שירות מבחן עדכניים על המערער שהצביעו על סיכויי שיקומו ועל השתלבותו בהליך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לגילו הצעיר ולהעדר כל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וקבע עונש מאסר של </w:t>
      </w:r>
      <w:r>
        <w:rPr>
          <w:rFonts w:cs="David" w:ascii="David" w:hAnsi="David"/>
          <w:b/>
          <w:bCs/>
        </w:rPr>
        <w:t>17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5900-15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אייל מעוז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10/05/16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המערער הורשע בעבירות של אחזקת 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נשיאת 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וסיוע להחזקת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לבין אנשים אחרים התגלע סכסוך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הסכסוך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ואנשים נוספים קשרו קשר לפגוע במי מבין האחרים המעורבים בסכסוך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ולשם כך 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קנה 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– אשר היה מודע לפרטי הסכסוך ולעובדה כי 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עתיד לעשות שימוש ברובה – נפגש עם 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ואחרים ומי מהנוכחים הטמין את הרובה 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קנה אקדח וכן מחסנית עם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 מסוים נפגשו המערער ושניים אחרים ליד דירתו של המערער לצורך הטמנת האקדח והמחסנית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מסיבה שאינה ידועה למשיבה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השלושה לא הטמינו את האקדח במקום ותחת זאת נסעו לחורשה ציבורית כשהם נושאים את האקדח והמחסנית בתוך שקית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הטמין את האקדח והמחסנית בחורשה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הערב תפסו שוטרי משטרת ישראל את האקדח וסיכלו את מימוש התכנית הפלילית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מתחם העונש ההולם 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והטיל על המערער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בית המשפט העליון דחה את הערעור וקבע</w:t>
      </w:r>
      <w:r>
        <w:rPr>
          <w:rFonts w:cs="David" w:ascii="David" w:hAnsi="David"/>
          <w:rtl w:val="true"/>
        </w:rPr>
        <w:t>-</w:t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rtl w:val="true"/>
        </w:rPr>
        <w:t>בית משפט זה עמד לא אחת על הסכנות הגלומות בעבירות הקשורות לנשק וחומרתן המיוחדת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אימץ לגביהן עמדה עקרונית של ענישה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שיש בה כדי להרתיע את היחיד והרבים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Times New Roman"/>
          <w:color w:val="000000"/>
          <w:rtl w:val="true"/>
        </w:rPr>
        <w:t>ע</w:t>
      </w:r>
      <w:r>
        <w:rPr>
          <w:rFonts w:cs="Times New Roman" w:ascii="David" w:hAnsi="David"/>
          <w:color w:val="000000"/>
          <w:rtl w:val="true"/>
        </w:rPr>
        <w:t>"</w:t>
      </w:r>
      <w:r>
        <w:rPr>
          <w:rFonts w:ascii="David" w:hAnsi="David" w:cs="Times New Roman"/>
          <w:color w:val="000000"/>
          <w:rtl w:val="true"/>
        </w:rPr>
        <w:t>פ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Times New Roman"/>
          <w:color w:val="000000"/>
          <w:rtl w:val="true"/>
        </w:rPr>
        <w:t>תיהוואי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Times New Roman"/>
          <w:color w:val="000000"/>
          <w:rtl w:val="true"/>
        </w:rPr>
        <w:t>נ</w:t>
      </w:r>
      <w:r>
        <w:rPr>
          <w:rFonts w:cs="Times New Roman" w:ascii="David" w:hAnsi="David"/>
          <w:color w:val="000000"/>
          <w:rtl w:val="true"/>
        </w:rPr>
        <w:t xml:space="preserve">' </w:t>
      </w:r>
      <w:r>
        <w:rPr>
          <w:rFonts w:ascii="David" w:hAnsi="David" w:cs="Times New Roman"/>
          <w:color w:val="000000"/>
          <w:rtl w:val="true"/>
        </w:rPr>
        <w:t>מדינת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Times New Roman"/>
          <w:color w:val="000000"/>
          <w:rtl w:val="true"/>
        </w:rPr>
        <w:t>ישראל</w:t>
      </w:r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14.2.2016</w:t>
      </w:r>
      <w:r>
        <w:rPr>
          <w:rFonts w:cs="David" w:ascii="David" w:hAnsi="David"/>
          <w:rtl w:val="true"/>
        </w:rPr>
        <w:t xml:space="preserve">); </w:t>
      </w:r>
      <w:hyperlink r:id="rId31"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David" w:hAnsi="David"/>
            <w:color w:val="0000FF"/>
            <w:u w:val="single"/>
          </w:rPr>
          <w:t>2422/14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 ח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דר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מדינת ישראל</w:t>
      </w:r>
      <w:r>
        <w:rPr>
          <w:rFonts w:cs="David" w:ascii="David" w:hAnsi="David"/>
          <w:rtl w:val="true"/>
        </w:rPr>
        <w:t>, 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21.12.2014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בצדק ייחס בית המשפט המחוזי חומרה רבה למעשיו של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התגייס לבצע כל חלק שהוטל עליו בביצוע העבירות – תחילה כמסייע בהטמנת הרובה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כמבצע העיקרי בהחזקת ונשיאת האקדח והתחמושת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בהטמנתם בחורשה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מעשיו אלו חמורים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וטומנים בחובם פוטנציאל פגיעה משמעותי בערך החברתי של 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מקימים סיכון ממשי לחיי אדם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איננו רואים מקום להתערבותנו בעונש שקבע</w:t>
      </w:r>
      <w:r>
        <w:rPr>
          <w:rFonts w:cs="David" w:ascii="David" w:hAnsi="David"/>
          <w:rtl w:val="true"/>
        </w:rPr>
        <w:t>."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לנסיבות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שביצוע מעשי הנאשם היה כרוך בתכנון מוקדם ובתיאום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חלקו של הנאשם בפעילות העבריינית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כמוסכם על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קטן יחסית לחלקם של מעורבים אחרים בפרשה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נתפס על ידי המשטרה כך שלא נגרם הנזק שעלול היה להיגרם בנסיבות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לולא פעילות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הנשק – ארבעה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 רובי קלצניקוב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רימון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ותחמושת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היה מוחזק בידיים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רעות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על כל הסכנות הידועות הכרוכות בכך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פעילות הנאשם התבטאה במספר הזדמנויות והיא מלמדת על מעורבותו בפרשה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שיוכו למי שהחזיק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ונכונותו לפעול בהתאם לנדרש לקידום הפעילות העבריינית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המוסכם על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היה מודע לקיומו של רובה אחד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ועצם את עיניו ביחס לאפשרות שמוחזקים ברכב כלי הנשק הנוספים שהיו 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הדעת נותנת שהנאשם ביצע את מעשיו כחלק משיוכו לקבוצה העבריינית המעורבת בפרשה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כאשר צדדים מסכימים על טווח ענישה שבגדרו ייגזר דינו של הנאשם ובית המשפט איננו מתכוון לקבוע את העונש בחריגה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בדרך כלל אין טעם בקביעת מתחם עונש הולם למעשה העבירה בנסיבותיו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טווח ענישה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מתייחס לעונש עצמו וככזה הוא יכול להיות מושפע גם מנתונים ונסיבות הנוגעים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שאינם קשורים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משיקולים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הנוגעים למשל לקשיים ראייתיים או לאינטרסים של יעילות וחסכון מערכתיים – שאינם נלקחים בחשבון בתהליך קביעת 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במצב דברים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המסגרת שבגדרה ייקבע עונשו של הנאשם הינה טווח הענישה העומד על הפרק ולא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וההכרעה השיפוטית הנדרשת נוגעת למיקום העונש בתוך טווח 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גם כאשר מוצג טווח ענישה ובית המשפט איננו מתכוון לקבוע את העונש בחריגה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מניעה לקבוע את מתחם העונש ההולם למעשה העבירה בנסיבותיו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מתחם כזה יכול לשמש כנקודת התייחסות וכשיקול אחד מבין מגוון שיקולים אפשריים למיקום עונשו של הנאשם בתוך טווח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בהבדלים בין המושגים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קביעת המתחם לא תושפע בהכרח מטווח הענישה המוצע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מניעה שהסף התחתון של המתחם שייקבע יהיה גבוה יותר מהסף העליון של טווח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 ייקבע בתוך טווח הענישה ולא על פי מתחם העונש ההולם – ללא צורך בנימוק חריגת העונש ממתחם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בשיקולי שיקום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טווח הענישה שהוצג על ידי הצדדים הינו בין שנה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ובנסיבות הענין אינני רואה הצדקה לקבוע את עונשו של הנאשם מחוץ לטווח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/>
          <w:rtl w:val="true"/>
        </w:rPr>
        <w:t>כפי שהתובעת הטיבה לתאר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הסכמת התביעה להגבלת דרישתה העונשית נעוצה בקשיים ראייתיים משמעותיים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בענייני חיסיון וטובת החקירה שעדיין פעילה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שהנאשם שמעמדו בהיררכיית המעורבים בפרשה נמוך בהשוואה לאחרים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היחיד שנותן את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שיקולים אלה רלוונטיים מאוד לעונש שייגזר על הנאשם והם אכן יילקחו בחשבון בגזירת עונשו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אין להם מקום בתהליך גיבוש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במצב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קביעת מתחם העונש ההולם לעבירה בנסיבותיה לא תקדם את ההכרעה הדרושה והיא איננה נחוצה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 xml:space="preserve">ראה והשווה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6943/16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גנדי גלקין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28.1.2018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לנאשם עבר פלילי הכולל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 בעבירות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מקום להגרלות והימורים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וארגון הגרלות והימורים אסורים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והוא ריצה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ועברו התעבורתי כולל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בעבירות שונות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בגזירת עונשו של הנאשם אני מביא בחשבון מעבר לדברים שכבר צוינו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גם את גילו של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על רקע הקשיים הראייתיים שעמדו בפני התביעה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הפגיעה של עונש המאסר בנאשם ובמשפחתו – ובמיוחד באמו החולה ובבת זוגו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ואת סיכויי שיקומו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ואת עברו הפלילי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רקע נפוצות עבירות הנשק ונוכח פסיקת בית המשפט העליון שיש להטיל על עבירות אלו עונשים שיהיה בהם כדי להרתיע את הציבור מביצוען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מוצא כי יש צורך בהרתעת הרבים מפני ביצוע העבירות שביצע הנאשם ושיש סיכוי ממשי שהחמרה בעונשו של הנאשם תביא להרתעת הרבים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סוף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מיום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למשך שלוש שנים מיום שחרורו מהמאסר שלא יעבור עבירת נשק המסווגת כפשע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פסילה מלהחזיק או לקבל רישיון נהיגה למשך שנה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זכות ערעור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 מהיום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#3#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  <w:b/>
          <w:bCs/>
          <w:sz w:val="6"/>
          <w:szCs w:val="6"/>
        </w:rPr>
      </w:pPr>
      <w:r>
        <w:rPr>
          <w:rFonts w:eastAsia="David" w:cs="David" w:ascii="David" w:hAnsi="David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end"/>
        <w:rPr>
          <w:rFonts w:ascii="David" w:hAnsi="David" w:cs="David"/>
        </w:rPr>
      </w:pPr>
      <w:bookmarkStart w:id="12" w:name="Nitan"/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rtl w:val="true"/>
        </w:rPr>
        <w:t>ניתנה והודעה היום 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ט תמוז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29/06/2021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במעמד הנוכחים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2"/>
    </w:p>
    <w:tbl>
      <w:tblPr>
        <w:bidiVisual w:val="true"/>
        <w:tblW w:w="3549" w:type="dxa"/>
        <w:jc w:val="start"/>
        <w:tblInd w:w="4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49"/>
      </w:tblGrid>
      <w:tr>
        <w:trPr>
          <w:trHeight w:val="316" w:hRule="atLeast"/>
        </w:trPr>
        <w:tc>
          <w:tcPr>
            <w:tcW w:w="3549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color w:val="FFFFFF"/>
                <w:sz w:val="2"/>
                <w:szCs w:val="2"/>
              </w:rPr>
            </w:pPr>
            <w:r>
              <w:rPr>
                <w:rFonts w:cs="David" w:ascii="David" w:hAnsi="David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54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אליהו ביתן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סגן הנשיאה</w:t>
            </w:r>
          </w:p>
        </w:tc>
      </w:tr>
    </w:tbl>
    <w:p>
      <w:pPr>
        <w:pStyle w:val="Normal"/>
        <w:ind w:end="0"/>
        <w:jc w:val="end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57272-12-20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אליק מטטוב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67" TargetMode="External"/><Relationship Id="rId8" Type="http://schemas.openxmlformats.org/officeDocument/2006/relationships/hyperlink" Target="http://www.nevo.co.il/law/74501" TargetMode="External"/><Relationship Id="rId9" Type="http://schemas.openxmlformats.org/officeDocument/2006/relationships/hyperlink" Target="http://www.nevo.co.il/law/74501/2.a" TargetMode="External"/><Relationship Id="rId10" Type="http://schemas.openxmlformats.org/officeDocument/2006/relationships/hyperlink" Target="http://www.nevo.co.il/case/11297713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5227/67" TargetMode="External"/><Relationship Id="rId16" Type="http://schemas.openxmlformats.org/officeDocument/2006/relationships/hyperlink" Target="http://www.nevo.co.il/law/5227" TargetMode="External"/><Relationship Id="rId17" Type="http://schemas.openxmlformats.org/officeDocument/2006/relationships/hyperlink" Target="http://www.nevo.co.il/law/74501/2.a" TargetMode="External"/><Relationship Id="rId18" Type="http://schemas.openxmlformats.org/officeDocument/2006/relationships/hyperlink" Target="http://www.nevo.co.il/law/745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7309272" TargetMode="External"/><Relationship Id="rId21" Type="http://schemas.openxmlformats.org/officeDocument/2006/relationships/hyperlink" Target="http://www.nevo.co.il/case/27171364" TargetMode="External"/><Relationship Id="rId22" Type="http://schemas.openxmlformats.org/officeDocument/2006/relationships/hyperlink" Target="http://www.nevo.co.il/case/25824863" TargetMode="External"/><Relationship Id="rId23" Type="http://schemas.openxmlformats.org/officeDocument/2006/relationships/hyperlink" Target="http://www.nevo.co.il/case/5568354" TargetMode="External"/><Relationship Id="rId24" Type="http://schemas.openxmlformats.org/officeDocument/2006/relationships/hyperlink" Target="http://www.nevo.co.il/case/26934681" TargetMode="External"/><Relationship Id="rId25" Type="http://schemas.openxmlformats.org/officeDocument/2006/relationships/hyperlink" Target="http://www.nevo.co.il/case/26905927" TargetMode="External"/><Relationship Id="rId26" Type="http://schemas.openxmlformats.org/officeDocument/2006/relationships/hyperlink" Target="http://www.nevo.co.il/case/25824863" TargetMode="External"/><Relationship Id="rId27" Type="http://schemas.openxmlformats.org/officeDocument/2006/relationships/hyperlink" Target="http://www.nevo.co.il/case/26327249" TargetMode="External"/><Relationship Id="rId28" Type="http://schemas.openxmlformats.org/officeDocument/2006/relationships/hyperlink" Target="http://www.nevo.co.il/case/22006503" TargetMode="External"/><Relationship Id="rId29" Type="http://schemas.openxmlformats.org/officeDocument/2006/relationships/hyperlink" Target="http://www.nevo.co.il/case/24269595" TargetMode="External"/><Relationship Id="rId30" Type="http://schemas.openxmlformats.org/officeDocument/2006/relationships/hyperlink" Target="http://www.nevo.co.il/case/21472954" TargetMode="External"/><Relationship Id="rId31" Type="http://schemas.openxmlformats.org/officeDocument/2006/relationships/hyperlink" Target="http://www.nevo.co.il/case/13090914" TargetMode="External"/><Relationship Id="rId32" Type="http://schemas.openxmlformats.org/officeDocument/2006/relationships/hyperlink" Target="http://www.nevo.co.il/case/21479019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2022-02-23T11:40:00Z</dcterms:created>
  <dc:creator> </dc:creator>
  <dc:description/>
  <cp:keywords/>
  <dc:language>en-IL</dc:language>
  <cp:lastModifiedBy>h1</cp:lastModifiedBy>
  <dcterms:modified xsi:type="dcterms:W3CDTF">2022-02-23T11:40:00Z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אליק מטטוב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11297713;27309272;27171364;25824863:2;5568354;26934681;26905927;26327249;22006503;24269595;21472954;13090914;21479019</vt:lpwstr>
  </property>
  <property fmtid="{D5CDD505-2E9C-101B-9397-08002B2CF9AE}" pid="9" name="CITY">
    <vt:lpwstr>ב"ש</vt:lpwstr>
  </property>
  <property fmtid="{D5CDD505-2E9C-101B-9397-08002B2CF9AE}" pid="10" name="DATE">
    <vt:lpwstr>20210629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70301/144.b;144.a;031</vt:lpwstr>
  </property>
  <property fmtid="{D5CDD505-2E9C-101B-9397-08002B2CF9AE}" pid="15" name="LAWLISTTMP2">
    <vt:lpwstr>5227/067</vt:lpwstr>
  </property>
  <property fmtid="{D5CDD505-2E9C-101B-9397-08002B2CF9AE}" pid="16" name="LAWLISTTMP3">
    <vt:lpwstr>74501/002.a</vt:lpwstr>
  </property>
  <property fmtid="{D5CDD505-2E9C-101B-9397-08002B2CF9AE}" pid="17" name="LAWYER">
    <vt:lpwstr>דבי מזור;עידו פורת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57272</vt:lpwstr>
  </property>
  <property fmtid="{D5CDD505-2E9C-101B-9397-08002B2CF9AE}" pid="24" name="NEWPARTB">
    <vt:lpwstr>12</vt:lpwstr>
  </property>
  <property fmtid="{D5CDD505-2E9C-101B-9397-08002B2CF9AE}" pid="25" name="NEWPARTC">
    <vt:lpwstr>20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390020210629</vt:lpwstr>
  </property>
  <property fmtid="{D5CDD505-2E9C-101B-9397-08002B2CF9AE}" pid="36" name="TYPE_N_DATE">
    <vt:lpwstr>39020210629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