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92"/>
        <w:gridCol w:w="600"/>
        <w:gridCol w:w="202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09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5739-01-09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  <w:tc>
          <w:tcPr>
            <w:tcW w:w="60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28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חני הורוביץ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וואיל היב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אביעד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רייפר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שגב אדלר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באמצעות הליווי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29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456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sz w:val="32"/>
          <w:szCs w:val="32"/>
          <w:u w:val="none"/>
        </w:rPr>
      </w:pPr>
      <w:bookmarkStart w:id="7" w:name="PsakDin"/>
      <w:bookmarkEnd w:id="7"/>
      <w:r>
        <w:rPr>
          <w:sz w:val="32"/>
          <w:sz w:val="32"/>
          <w:szCs w:val="32"/>
          <w:u w:val="none"/>
          <w:rtl w:val="true"/>
        </w:rPr>
        <w:t>ג ז ר   ד י ן</w:t>
      </w:r>
    </w:p>
    <w:p>
      <w:pPr>
        <w:pStyle w:val="Normal"/>
        <w:spacing w:lineRule="auto" w:line="360"/>
        <w:ind w:end="0"/>
        <w:jc w:val="both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 הודה בעובדות כתב האישום המתוקן והורשע בביצוע העבירות 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hyperlink r:id="rId7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 xml:space="preserve">] </w:t>
      </w:r>
      <w:r>
        <w:rPr>
          <w:rtl w:val="true"/>
        </w:rPr>
        <w:t>ו</w:t>
      </w:r>
      <w:r>
        <w:rPr>
          <w:b/>
          <w:b/>
          <w:bCs/>
          <w:rtl w:val="true"/>
        </w:rPr>
        <w:t>ניסיון להרוס נכס בחומר נפיץ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456</w:t>
        </w:r>
      </w:hyperlink>
      <w:r>
        <w:rPr>
          <w:rtl w:val="true"/>
        </w:rPr>
        <w:t xml:space="preserve"> + </w:t>
      </w:r>
      <w:hyperlink r:id="rId10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11" w:name="ABSTRACT_END"/>
      <w:bookmarkEnd w:id="11"/>
      <w:r>
        <w:rPr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עיקרי העובדות העומדות ברקע להרשעה דלעיל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עלי אבו תנהא </w:t>
      </w:r>
      <w:r>
        <w:rPr>
          <w:rtl w:val="true"/>
        </w:rPr>
        <w:t>[</w:t>
      </w:r>
      <w:r>
        <w:rPr>
          <w:rtl w:val="true"/>
        </w:rPr>
        <w:t>עלי</w:t>
      </w:r>
      <w:r>
        <w:rPr>
          <w:rtl w:val="true"/>
        </w:rPr>
        <w:t xml:space="preserve">] </w:t>
      </w:r>
      <w:r>
        <w:rPr>
          <w:rtl w:val="true"/>
        </w:rPr>
        <w:t>היה מסוכסך עם א</w:t>
      </w:r>
      <w:r>
        <w:rPr>
          <w:rtl w:val="true"/>
        </w:rPr>
        <w:t>.</w:t>
      </w:r>
      <w:r>
        <w:rPr>
          <w:rtl w:val="true"/>
        </w:rPr>
        <w:t>י</w:t>
      </w:r>
      <w:r>
        <w:rPr>
          <w:rtl w:val="true"/>
        </w:rPr>
        <w:t>. [</w:t>
      </w:r>
      <w:r>
        <w:rPr>
          <w:rtl w:val="true"/>
        </w:rPr>
        <w:t>המתלונן</w:t>
      </w:r>
      <w:r>
        <w:rPr>
          <w:rtl w:val="true"/>
        </w:rPr>
        <w:t xml:space="preserve">], </w:t>
      </w:r>
      <w:r>
        <w:rPr>
          <w:rtl w:val="true"/>
        </w:rPr>
        <w:t>על רקע חוב כספי למתלונן</w:t>
      </w:r>
      <w:r>
        <w:rPr>
          <w:rtl w:val="true"/>
        </w:rPr>
        <w:t xml:space="preserve">. </w:t>
      </w:r>
      <w:r>
        <w:rPr>
          <w:rtl w:val="true"/>
        </w:rPr>
        <w:t>עלי קשר עם הנאשם</w:t>
      </w:r>
      <w:r>
        <w:rPr>
          <w:rtl w:val="true"/>
        </w:rPr>
        <w:t xml:space="preserve">, </w:t>
      </w:r>
      <w:r>
        <w:rPr>
          <w:rtl w:val="true"/>
        </w:rPr>
        <w:t>שהיה חייב לו כספים</w:t>
      </w:r>
      <w:r>
        <w:rPr>
          <w:rtl w:val="true"/>
        </w:rPr>
        <w:t xml:space="preserve">, </w:t>
      </w:r>
      <w:r>
        <w:rPr>
          <w:rtl w:val="true"/>
        </w:rPr>
        <w:t>כי בתמורה לכך שהנאשם ישליך רימון לעבר ביתו של המתלונן בטבעון</w:t>
      </w:r>
      <w:r>
        <w:rPr>
          <w:rtl w:val="true"/>
        </w:rPr>
        <w:t xml:space="preserve">, </w:t>
      </w:r>
      <w:r>
        <w:rPr>
          <w:rtl w:val="true"/>
        </w:rPr>
        <w:t>ימחל לו על החוב</w:t>
      </w:r>
      <w:r>
        <w:rPr>
          <w:rtl w:val="true"/>
        </w:rPr>
        <w:t xml:space="preserve">. </w:t>
      </w:r>
      <w:r>
        <w:rPr>
          <w:rtl w:val="true"/>
        </w:rPr>
        <w:t xml:space="preserve">הנאשם הסכים להצעה ושכנע את עלי לצרף לקשר אדם נוסף מקורב לו </w:t>
      </w:r>
      <w:r>
        <w:rPr>
          <w:rtl w:val="true"/>
        </w:rPr>
        <w:t>[</w:t>
      </w:r>
      <w:r>
        <w:rPr>
          <w:rtl w:val="true"/>
        </w:rPr>
        <w:t>האחר</w:t>
      </w:r>
      <w:r>
        <w:rPr>
          <w:rtl w:val="true"/>
        </w:rPr>
        <w:t xml:space="preserve">], </w:t>
      </w:r>
      <w:r>
        <w:rPr>
          <w:rtl w:val="true"/>
        </w:rPr>
        <w:t xml:space="preserve">שהינו בעל רכב מסוג הונדה סיויק </w:t>
      </w:r>
      <w:r>
        <w:rPr>
          <w:rtl w:val="true"/>
        </w:rPr>
        <w:t>[</w:t>
      </w:r>
      <w:r>
        <w:rPr>
          <w:rtl w:val="true"/>
        </w:rPr>
        <w:t>הרכב</w:t>
      </w:r>
      <w:r>
        <w:rPr>
          <w:rtl w:val="true"/>
        </w:rPr>
        <w:t xml:space="preserve">] </w:t>
      </w:r>
      <w:r>
        <w:rPr>
          <w:rtl w:val="true"/>
        </w:rPr>
        <w:t>תמורת תשלום לאותו אחר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10.12.08</w:t>
      </w:r>
      <w:r>
        <w:rPr>
          <w:rtl w:val="true"/>
        </w:rPr>
        <w:t xml:space="preserve"> </w:t>
      </w:r>
      <w:r>
        <w:rPr>
          <w:rtl w:val="true"/>
        </w:rPr>
        <w:t>נפגש עלי עם הנאשם ולימד אותו כיצד לעשות שימוש ולהשליך רימון יד 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>/</w:t>
      </w:r>
      <w:r>
        <w:rPr>
          <w:rtl w:val="true"/>
        </w:rPr>
        <w:t xml:space="preserve">רסס </w:t>
      </w:r>
      <w:r>
        <w:rPr>
          <w:rtl w:val="true"/>
        </w:rPr>
        <w:t>[</w:t>
      </w:r>
      <w:r>
        <w:rPr>
          <w:rtl w:val="true"/>
        </w:rPr>
        <w:t>הרימון</w:t>
      </w:r>
      <w:r>
        <w:rPr>
          <w:rtl w:val="true"/>
        </w:rPr>
        <w:t xml:space="preserve">], </w:t>
      </w:r>
      <w:r>
        <w:rPr>
          <w:rtl w:val="true"/>
        </w:rPr>
        <w:t>אותו נשא עלי שלא כחוק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11.12.08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נפגש הנאשם עם האחר וזה הסכים להצטרף לקשר</w:t>
      </w:r>
      <w:r>
        <w:rPr>
          <w:rtl w:val="true"/>
        </w:rPr>
        <w:t xml:space="preserve">. </w:t>
      </w:r>
      <w:r>
        <w:rPr>
          <w:rtl w:val="true"/>
        </w:rPr>
        <w:t>בהמשך נפגשו השניים עם עלי</w:t>
      </w:r>
      <w:r>
        <w:rPr>
          <w:rtl w:val="true"/>
        </w:rPr>
        <w:t xml:space="preserve">, </w:t>
      </w:r>
      <w:r>
        <w:rPr>
          <w:rtl w:val="true"/>
        </w:rPr>
        <w:t>שהעביר להם את הרימון</w:t>
      </w:r>
      <w:r>
        <w:rPr>
          <w:rtl w:val="true"/>
        </w:rPr>
        <w:t xml:space="preserve">, </w:t>
      </w:r>
      <w:r>
        <w:rPr>
          <w:rtl w:val="true"/>
        </w:rPr>
        <w:t>מברג ושתי לוחיות זיהוי גנובות לרכב</w:t>
      </w:r>
      <w:r>
        <w:rPr>
          <w:rtl w:val="true"/>
        </w:rPr>
        <w:t xml:space="preserve">, </w:t>
      </w:r>
      <w:r>
        <w:rPr>
          <w:rtl w:val="true"/>
        </w:rPr>
        <w:t>הנושאות כל אחת מהן מספר שונה</w:t>
      </w:r>
      <w:r>
        <w:rPr>
          <w:rtl w:val="true"/>
        </w:rPr>
        <w:t xml:space="preserve">. </w:t>
      </w:r>
      <w:r>
        <w:rPr>
          <w:rtl w:val="true"/>
        </w:rPr>
        <w:t>הנאשם והאחר נסעו לפארק בטבעון</w:t>
      </w:r>
      <w:r>
        <w:rPr>
          <w:rtl w:val="true"/>
        </w:rPr>
        <w:t xml:space="preserve">, </w:t>
      </w:r>
      <w:r>
        <w:rPr>
          <w:rtl w:val="true"/>
        </w:rPr>
        <w:t>שם החליפו את לוחיות הזיהוי של הרכב ומשם נסעו לבית המתלונן</w:t>
      </w:r>
      <w:r>
        <w:rPr>
          <w:rtl w:val="true"/>
        </w:rPr>
        <w:t xml:space="preserve">, </w:t>
      </w:r>
      <w:r>
        <w:rPr>
          <w:rtl w:val="true"/>
        </w:rPr>
        <w:t>כשהרימון ברשותם</w:t>
      </w:r>
      <w:r>
        <w:rPr>
          <w:rtl w:val="true"/>
        </w:rPr>
        <w:t xml:space="preserve">. </w:t>
      </w:r>
      <w:r>
        <w:rPr>
          <w:rtl w:val="true"/>
        </w:rPr>
        <w:t>הם חלפו עם הרכב על</w:t>
      </w:r>
      <w:r>
        <w:rPr>
          <w:rtl w:val="true"/>
        </w:rPr>
        <w:t>-</w:t>
      </w:r>
      <w:r>
        <w:rPr>
          <w:rtl w:val="true"/>
        </w:rPr>
        <w:t>פני הבית מספר פעמים ושוחחו עם עלי</w:t>
      </w:r>
      <w:r>
        <w:rPr>
          <w:rtl w:val="true"/>
        </w:rPr>
        <w:t xml:space="preserve">, </w:t>
      </w:r>
      <w:r>
        <w:rPr>
          <w:rtl w:val="true"/>
        </w:rPr>
        <w:t>שהיה בקרבת 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12.12.08</w:t>
      </w:r>
      <w:r>
        <w:rPr>
          <w:rtl w:val="true"/>
        </w:rPr>
        <w:t xml:space="preserve"> </w:t>
      </w:r>
      <w:r>
        <w:rPr>
          <w:rtl w:val="true"/>
        </w:rPr>
        <w:t xml:space="preserve">בסביבות השעה </w:t>
      </w:r>
      <w:r>
        <w:rPr/>
        <w:t>00:18</w:t>
      </w:r>
      <w:r>
        <w:rPr>
          <w:rtl w:val="true"/>
        </w:rPr>
        <w:t xml:space="preserve">, </w:t>
      </w:r>
      <w:r>
        <w:rPr>
          <w:rtl w:val="true"/>
        </w:rPr>
        <w:t>הגיעו הנאשם והאחר ברכב ליד בית המתלונן</w:t>
      </w:r>
      <w:r>
        <w:rPr>
          <w:rtl w:val="true"/>
        </w:rPr>
        <w:t xml:space="preserve">.  </w:t>
      </w:r>
      <w:r>
        <w:rPr>
          <w:rtl w:val="true"/>
        </w:rPr>
        <w:t>הנאשם יצא מהרכב כשהוא מצויד ברימון</w:t>
      </w:r>
      <w:r>
        <w:rPr>
          <w:rtl w:val="true"/>
        </w:rPr>
        <w:t xml:space="preserve">, </w:t>
      </w:r>
      <w:r>
        <w:rPr>
          <w:rtl w:val="true"/>
        </w:rPr>
        <w:t>שיחרר את הנצרה והשליך את הרימון לעבר ביתו של המתלונן</w:t>
      </w:r>
      <w:r>
        <w:rPr>
          <w:rtl w:val="true"/>
        </w:rPr>
        <w:t xml:space="preserve">. </w:t>
      </w:r>
      <w:r>
        <w:rPr>
          <w:rtl w:val="true"/>
        </w:rPr>
        <w:t>הרימון עבר מעל שטח בית המתלונן</w:t>
      </w:r>
      <w:r>
        <w:rPr>
          <w:rtl w:val="true"/>
        </w:rPr>
        <w:t xml:space="preserve">, </w:t>
      </w:r>
      <w:r>
        <w:rPr>
          <w:rtl w:val="true"/>
        </w:rPr>
        <w:t>עבר את הגדר התוחמת את בית המתלונן ונחת צמוד לגדר בצידה החיצוני</w:t>
      </w:r>
      <w:r>
        <w:rPr>
          <w:rtl w:val="true"/>
        </w:rPr>
        <w:t xml:space="preserve">, </w:t>
      </w:r>
      <w:r>
        <w:rPr>
          <w:rtl w:val="true"/>
        </w:rPr>
        <w:t>מטרים ספורים מקיר ביתו של המתלונן</w:t>
      </w:r>
      <w:r>
        <w:rPr>
          <w:rtl w:val="true"/>
        </w:rPr>
        <w:t xml:space="preserve">.  </w:t>
      </w:r>
      <w:r>
        <w:rPr>
          <w:rtl w:val="true"/>
        </w:rPr>
        <w:t>הרימון לא התפוצץ מחמת תקלה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 זריקת הרימון לעבר בית המתלונן שילם עלי לנאשם ולאחר</w:t>
      </w:r>
      <w:r>
        <w:rPr>
          <w:rtl w:val="true"/>
        </w:rPr>
        <w:t xml:space="preserve">, </w:t>
      </w:r>
      <w:r>
        <w:rPr>
          <w:rtl w:val="true"/>
        </w:rPr>
        <w:t>למחרת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סך של </w:t>
      </w:r>
      <w:r>
        <w:rPr/>
        <w:t>1,300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 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הדגישה את חומרת המעשה</w:t>
      </w:r>
      <w:r>
        <w:rPr>
          <w:rtl w:val="true"/>
        </w:rPr>
        <w:t xml:space="preserve">, </w:t>
      </w:r>
      <w:r>
        <w:rPr>
          <w:rtl w:val="true"/>
        </w:rPr>
        <w:t>שהיה מתוכנן מראש ושקול</w:t>
      </w:r>
      <w:r>
        <w:rPr>
          <w:rtl w:val="true"/>
        </w:rPr>
        <w:t xml:space="preserve">. </w:t>
      </w:r>
      <w:r>
        <w:rPr>
          <w:rtl w:val="true"/>
        </w:rPr>
        <w:t>היא ציינה את מסוכנות הנאשם העולה מעובדות ביצוע המעשה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שימוש ברימון רסס</w:t>
      </w:r>
      <w:r>
        <w:rPr>
          <w:rtl w:val="true"/>
        </w:rPr>
        <w:t xml:space="preserve">, </w:t>
      </w:r>
      <w:r>
        <w:rPr>
          <w:rtl w:val="true"/>
        </w:rPr>
        <w:t>שהינו נשק בעל יכולת פגיעה רבה</w:t>
      </w:r>
      <w:r>
        <w:rPr>
          <w:rtl w:val="true"/>
        </w:rPr>
        <w:t xml:space="preserve">. </w:t>
      </w:r>
      <w:r>
        <w:rPr>
          <w:rtl w:val="true"/>
        </w:rPr>
        <w:t>הנאשם הוא זה שהשליך את הרימון</w:t>
      </w:r>
      <w:r>
        <w:rPr>
          <w:rtl w:val="true"/>
        </w:rPr>
        <w:t xml:space="preserve">, </w:t>
      </w:r>
      <w:r>
        <w:rPr>
          <w:rtl w:val="true"/>
        </w:rPr>
        <w:t>צירף שותף</w:t>
      </w:r>
      <w:r>
        <w:rPr>
          <w:rtl w:val="true"/>
        </w:rPr>
        <w:t xml:space="preserve">, </w:t>
      </w:r>
      <w:r>
        <w:rPr>
          <w:rtl w:val="true"/>
        </w:rPr>
        <w:t>ביצע את העבירות עבור בצע כסף</w:t>
      </w:r>
      <w:r>
        <w:rPr>
          <w:rtl w:val="true"/>
        </w:rPr>
        <w:t xml:space="preserve">. </w:t>
      </w:r>
      <w:r>
        <w:rPr>
          <w:rtl w:val="true"/>
        </w:rPr>
        <w:t>המקום והשעה בהם בוצע המעשה</w:t>
      </w:r>
      <w:r>
        <w:rPr>
          <w:rtl w:val="true"/>
        </w:rPr>
        <w:t xml:space="preserve">, </w:t>
      </w:r>
      <w:r>
        <w:rPr>
          <w:rtl w:val="true"/>
        </w:rPr>
        <w:t>ממחישים את רמת האדישות שהפגין הנאשם לתוצאות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טענה כי אין מקום לזקוף לזכות הנאשם את התקלה הטכנית שמנעה התפוצצות הרימון</w:t>
      </w:r>
      <w:r>
        <w:rPr>
          <w:rtl w:val="true"/>
        </w:rPr>
        <w:t xml:space="preserve">, </w:t>
      </w:r>
      <w:r>
        <w:rPr>
          <w:rtl w:val="true"/>
        </w:rPr>
        <w:t>שכן הוא מבחינתו עשה הכל כדי להשלים את ביצוע העבירה ואף פנה לאחר ביצועה</w:t>
      </w:r>
      <w:r>
        <w:rPr>
          <w:rtl w:val="true"/>
        </w:rPr>
        <w:t xml:space="preserve">, </w:t>
      </w:r>
      <w:r>
        <w:rPr>
          <w:rtl w:val="true"/>
        </w:rPr>
        <w:t>לקבל את שכרו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התובעת הפנתה לעונש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שקבע המחוקק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הגישה אסופת פסיקה</w:t>
      </w:r>
      <w:r>
        <w:rPr>
          <w:rtl w:val="true"/>
        </w:rPr>
        <w:t xml:space="preserve">, </w:t>
      </w:r>
      <w:r>
        <w:rPr>
          <w:rtl w:val="true"/>
        </w:rPr>
        <w:t>במסגרתה הוטלו בגין עבירות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עונשים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 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חודשי מאסר בפועל</w:t>
      </w:r>
      <w:r>
        <w:rPr>
          <w:rtl w:val="true"/>
        </w:rPr>
        <w:t xml:space="preserve">, </w:t>
      </w:r>
      <w:r>
        <w:rPr>
          <w:rtl w:val="true"/>
        </w:rPr>
        <w:t>כל מקרה ונסיבותיו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הפרקליטה עתרה להטיל על הנאשם עונש מאסר בפועל ממושך ומרתיע</w:t>
      </w:r>
      <w:r>
        <w:rPr>
          <w:rtl w:val="true"/>
        </w:rPr>
        <w:t xml:space="preserve">, </w:t>
      </w:r>
      <w:r>
        <w:rPr>
          <w:rtl w:val="true"/>
        </w:rPr>
        <w:t>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 וכן פיצוי 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הסנגור</w:t>
      </w:r>
      <w:r>
        <w:rPr>
          <w:rtl w:val="true"/>
        </w:rPr>
        <w:t xml:space="preserve"> ביקש שלא לזקוף לחובת הנאשם את העובדה שויתר על קבלת תסקיר שירות המבחן</w:t>
      </w:r>
      <w:r>
        <w:rPr>
          <w:rtl w:val="true"/>
        </w:rPr>
        <w:t xml:space="preserve">, </w:t>
      </w:r>
      <w:r>
        <w:rPr>
          <w:rtl w:val="true"/>
        </w:rPr>
        <w:t>שכן הויתור נעשה רק כיוון שהנאשם לא רצה להמתין תקופה נוספת עד לקבלת התסקיר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שהתברר כי שירות המבחן לא יוכל להשלים את הכנת התסקיר בסד הזמנים הקצר שנקבע</w:t>
      </w:r>
      <w:r>
        <w:rPr>
          <w:rtl w:val="true"/>
        </w:rPr>
        <w:t xml:space="preserve">. </w:t>
      </w:r>
      <w:r>
        <w:rPr>
          <w:rtl w:val="true"/>
        </w:rPr>
        <w:t>הוא ביקש שביהמ</w:t>
      </w:r>
      <w:r>
        <w:rPr>
          <w:rtl w:val="true"/>
        </w:rPr>
        <w:t>"</w:t>
      </w:r>
      <w:r>
        <w:rPr>
          <w:rtl w:val="true"/>
        </w:rPr>
        <w:t>ש יקבל את דבריו לעניין הרקע של הנאשם</w:t>
      </w:r>
      <w:r>
        <w:rPr>
          <w:rtl w:val="true"/>
        </w:rPr>
        <w:t xml:space="preserve">. </w:t>
      </w:r>
      <w:r>
        <w:rPr>
          <w:rtl w:val="true"/>
        </w:rPr>
        <w:t>לדבריו הנאשם ניהל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אדם שקט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חרוץ</w:t>
      </w:r>
      <w:r>
        <w:rPr>
          <w:rtl w:val="true"/>
        </w:rPr>
        <w:t xml:space="preserve">, </w:t>
      </w:r>
      <w:r>
        <w:rPr>
          <w:rtl w:val="true"/>
        </w:rPr>
        <w:t>מוכן לעזור לחבריו ולבני משפחתו</w:t>
      </w:r>
      <w:r>
        <w:rPr>
          <w:rtl w:val="true"/>
        </w:rPr>
        <w:t xml:space="preserve">. </w:t>
      </w:r>
      <w:r>
        <w:rPr>
          <w:rtl w:val="true"/>
        </w:rPr>
        <w:t>עברו של הנאשם כולל הרשעה אחת בלבד</w:t>
      </w:r>
      <w:r>
        <w:rPr>
          <w:rtl w:val="true"/>
        </w:rPr>
        <w:t xml:space="preserve">, </w:t>
      </w:r>
      <w:r>
        <w:rPr>
          <w:rtl w:val="true"/>
        </w:rPr>
        <w:t>שאיננה רלבנטית וזו פעם ראשונה שהוא יושב במעצר תקופה ממושכת</w:t>
      </w:r>
      <w:r>
        <w:rPr>
          <w:rtl w:val="true"/>
        </w:rPr>
        <w:t xml:space="preserve">. </w:t>
      </w:r>
      <w:r>
        <w:rPr>
          <w:rtl w:val="true"/>
        </w:rPr>
        <w:t>מעצרו הממושך</w:t>
      </w:r>
      <w:r>
        <w:rPr>
          <w:rtl w:val="true"/>
        </w:rPr>
        <w:t xml:space="preserve">, </w:t>
      </w:r>
      <w:r>
        <w:rPr>
          <w:rtl w:val="true"/>
        </w:rPr>
        <w:t>שתנאיו קשים ממאסר</w:t>
      </w:r>
      <w:r>
        <w:rPr>
          <w:rtl w:val="true"/>
        </w:rPr>
        <w:t xml:space="preserve">, </w:t>
      </w:r>
      <w:r>
        <w:rPr>
          <w:rtl w:val="true"/>
        </w:rPr>
        <w:t>גרם לו להפנים את חומרת מעשיו</w:t>
      </w:r>
      <w:r>
        <w:rPr>
          <w:rtl w:val="true"/>
        </w:rPr>
        <w:t xml:space="preserve">, </w:t>
      </w:r>
      <w:r>
        <w:rPr>
          <w:rtl w:val="true"/>
        </w:rPr>
        <w:t>הוא למד את הלקח ולא יהווה יותר סכנה לאיש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טען הסנגור כי הנאשם איננו אלים</w:t>
      </w:r>
      <w:r>
        <w:rPr>
          <w:rtl w:val="true"/>
        </w:rPr>
        <w:t xml:space="preserve">, </w:t>
      </w:r>
      <w:r>
        <w:rPr>
          <w:rtl w:val="true"/>
        </w:rPr>
        <w:t>אלא אדם חלש אופי וחולשתו זו היא שהביאה אותו לביצוע העבירות</w:t>
      </w:r>
      <w:r>
        <w:rPr>
          <w:rtl w:val="true"/>
        </w:rPr>
        <w:t xml:space="preserve">. </w:t>
      </w:r>
      <w:r>
        <w:rPr>
          <w:rtl w:val="true"/>
        </w:rPr>
        <w:t>הוא נקלע לחובות</w:t>
      </w:r>
      <w:r>
        <w:rPr>
          <w:rtl w:val="true"/>
        </w:rPr>
        <w:t xml:space="preserve">, </w:t>
      </w:r>
      <w:r>
        <w:rPr>
          <w:rtl w:val="true"/>
        </w:rPr>
        <w:t>בעל החוב ניצל את מצוקתו והוא נגרר אחריו</w:t>
      </w:r>
      <w:r>
        <w:rPr>
          <w:rtl w:val="true"/>
        </w:rPr>
        <w:t xml:space="preserve">. </w:t>
      </w:r>
      <w:r>
        <w:rPr>
          <w:rtl w:val="true"/>
        </w:rPr>
        <w:t>הוא לא היה צד לסכסוך עם 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יש לזקוף לזכות הנאשם את הודאתו בשלב מוקדם הן בביהמ</w:t>
      </w:r>
      <w:r>
        <w:rPr>
          <w:rtl w:val="true"/>
        </w:rPr>
        <w:t>"</w:t>
      </w:r>
      <w:r>
        <w:rPr>
          <w:rtl w:val="true"/>
        </w:rPr>
        <w:t>ש והן במשטרה</w:t>
      </w:r>
      <w:r>
        <w:rPr>
          <w:rtl w:val="true"/>
        </w:rPr>
        <w:t xml:space="preserve">. </w:t>
      </w:r>
      <w:r>
        <w:rPr>
          <w:rtl w:val="true"/>
        </w:rPr>
        <w:t>הודאתו במשטרה הביאה לגילוי העבריינים האחרים</w:t>
      </w:r>
      <w:r>
        <w:rPr>
          <w:rtl w:val="true"/>
        </w:rPr>
        <w:t xml:space="preserve">. </w:t>
      </w:r>
      <w:r>
        <w:rPr>
          <w:rtl w:val="true"/>
        </w:rPr>
        <w:t>הנאשם אף נאלץ להעיד נגדם</w:t>
      </w:r>
      <w:r>
        <w:rPr>
          <w:rtl w:val="true"/>
        </w:rPr>
        <w:t xml:space="preserve">, </w:t>
      </w:r>
      <w:r>
        <w:rPr>
          <w:rtl w:val="true"/>
        </w:rPr>
        <w:t>מעמד שלא היה קל 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 הפנה לכך שלא נגרם נזק וטען כי יש לראות בכך נסיבה לקולא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 טען כי הנאשם כואב את כאב הקורבן והוא מביע חרטה על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 באדם צעיר שמבקש ביום שחרורו מהכלא לפתוח דף חדש בחייו</w:t>
      </w:r>
      <w:r>
        <w:rPr>
          <w:rtl w:val="true"/>
        </w:rPr>
        <w:t xml:space="preserve">, </w:t>
      </w:r>
      <w:r>
        <w:rPr>
          <w:rtl w:val="true"/>
        </w:rPr>
        <w:t>להקים משפחה ולתכנן עתיד טוב 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 טען כי קיים חשש שהנאשם יספוג בכלא נורמות עברייניות ולכן יש להעדיף שיקולי ענישה אינדיבידואליים</w:t>
      </w:r>
      <w:r>
        <w:rPr>
          <w:rtl w:val="true"/>
        </w:rPr>
        <w:t xml:space="preserve">, </w:t>
      </w:r>
      <w:r>
        <w:rPr>
          <w:rtl w:val="true"/>
        </w:rPr>
        <w:t>אשר במקרה דנן</w:t>
      </w:r>
      <w:r>
        <w:rPr>
          <w:rtl w:val="true"/>
        </w:rPr>
        <w:t xml:space="preserve">, </w:t>
      </w:r>
      <w:r>
        <w:rPr>
          <w:rtl w:val="true"/>
        </w:rPr>
        <w:t>מצדיקים הקלה בעונש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 הגיש אסופת פסיקה</w:t>
      </w:r>
      <w:r>
        <w:rPr>
          <w:rtl w:val="true"/>
        </w:rPr>
        <w:t xml:space="preserve">, </w:t>
      </w:r>
      <w:r>
        <w:rPr>
          <w:rtl w:val="true"/>
        </w:rPr>
        <w:t xml:space="preserve">במסגרתה הוטלו על נאשמים עונשים שנעו 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 מאסר לאחר הפעלת מע</w:t>
      </w:r>
      <w:r>
        <w:rPr>
          <w:rtl w:val="true"/>
        </w:rPr>
        <w:t>"</w:t>
      </w:r>
      <w:r>
        <w:rPr>
          <w:rtl w:val="true"/>
        </w:rPr>
        <w:t>ת במצטבר</w:t>
      </w:r>
      <w:r>
        <w:rPr>
          <w:rtl w:val="true"/>
        </w:rPr>
        <w:t xml:space="preserve">; </w:t>
      </w:r>
      <w:r>
        <w:rPr>
          <w:rtl w:val="true"/>
        </w:rPr>
        <w:t>מקרה אחד בו עד מדינה נדון בהתאם להסדר טיעון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 ומאסר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טען שטווח ענישה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הולם את המקרה דנן</w:t>
      </w:r>
      <w:r>
        <w:rPr>
          <w:rtl w:val="true"/>
        </w:rPr>
        <w:t xml:space="preserve">, </w:t>
      </w:r>
      <w:r>
        <w:rPr>
          <w:rtl w:val="true"/>
        </w:rPr>
        <w:t>בו הרימון לא התפוצץ ולא נגרם נזק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 לא ביקש לומר 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שיקולי ענישה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מדובר במעשה חמור</w:t>
      </w:r>
      <w:r>
        <w:rPr>
          <w:rtl w:val="true"/>
        </w:rPr>
        <w:t xml:space="preserve">. </w:t>
      </w:r>
      <w:r>
        <w:rPr>
          <w:rtl w:val="true"/>
        </w:rPr>
        <w:t>למען בצע כסף</w:t>
      </w:r>
      <w:r>
        <w:rPr>
          <w:rtl w:val="true"/>
        </w:rPr>
        <w:t xml:space="preserve">, </w:t>
      </w:r>
      <w:r>
        <w:rPr>
          <w:rtl w:val="true"/>
        </w:rPr>
        <w:t xml:space="preserve">ויתור על חוב בסך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ועוד תשלום פעוט</w:t>
      </w:r>
      <w:r>
        <w:rPr>
          <w:rtl w:val="true"/>
        </w:rPr>
        <w:t xml:space="preserve">, </w:t>
      </w:r>
      <w:r>
        <w:rPr>
          <w:rtl w:val="true"/>
        </w:rPr>
        <w:t>היה הנאשם מוכן לפעול בשליחותו של עלי</w:t>
      </w:r>
      <w:r>
        <w:rPr>
          <w:rtl w:val="true"/>
        </w:rPr>
        <w:t xml:space="preserve">, </w:t>
      </w:r>
      <w:r>
        <w:rPr>
          <w:rtl w:val="true"/>
        </w:rPr>
        <w:t>לסכן את המתלונן ובני משפחתו</w:t>
      </w:r>
      <w:r>
        <w:rPr>
          <w:rtl w:val="true"/>
        </w:rPr>
        <w:t xml:space="preserve">, </w:t>
      </w:r>
      <w:r>
        <w:rPr>
          <w:rtl w:val="true"/>
        </w:rPr>
        <w:t>אותם כלל לא הכיר</w:t>
      </w:r>
      <w:r>
        <w:rPr>
          <w:rtl w:val="true"/>
        </w:rPr>
        <w:t xml:space="preserve">. </w:t>
      </w:r>
      <w:r>
        <w:rPr>
          <w:rtl w:val="true"/>
        </w:rPr>
        <w:t>ללא שליחים כמו הנאשם</w:t>
      </w:r>
      <w:r>
        <w:rPr>
          <w:rtl w:val="true"/>
        </w:rPr>
        <w:t xml:space="preserve">, </w:t>
      </w:r>
      <w:r>
        <w:rPr>
          <w:rtl w:val="true"/>
        </w:rPr>
        <w:t>לא היו שולחים יכולים לבצע את זממם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אך בנס לא נגרם נזק</w:t>
      </w:r>
      <w:r>
        <w:rPr>
          <w:rtl w:val="true"/>
        </w:rPr>
        <w:t xml:space="preserve">, </w:t>
      </w:r>
      <w:r>
        <w:rPr>
          <w:rtl w:val="true"/>
        </w:rPr>
        <w:t>משהרימון לא התפוצץ</w:t>
      </w:r>
      <w:r>
        <w:rPr>
          <w:rtl w:val="true"/>
        </w:rPr>
        <w:t xml:space="preserve">. </w:t>
      </w:r>
      <w:r>
        <w:rPr>
          <w:rtl w:val="true"/>
        </w:rPr>
        <w:t>הנאשם מבחינתו עשה הכל לצורך השלמת ביצוע העבירה</w:t>
      </w:r>
      <w:r>
        <w:rPr>
          <w:rtl w:val="true"/>
        </w:rPr>
        <w:t xml:space="preserve">. </w:t>
      </w:r>
      <w:r>
        <w:rPr>
          <w:rtl w:val="true"/>
        </w:rPr>
        <w:t>למד להפעיל את הרימון</w:t>
      </w:r>
      <w:r>
        <w:rPr>
          <w:rtl w:val="true"/>
        </w:rPr>
        <w:t xml:space="preserve">, </w:t>
      </w:r>
      <w:r>
        <w:rPr>
          <w:rtl w:val="true"/>
        </w:rPr>
        <w:t>זרק אותו לעבר ביתו של המתלונן</w:t>
      </w:r>
      <w:r>
        <w:rPr>
          <w:rtl w:val="true"/>
        </w:rPr>
        <w:t xml:space="preserve">, </w:t>
      </w:r>
      <w:r>
        <w:rPr>
          <w:rtl w:val="true"/>
        </w:rPr>
        <w:t>שעה שדיירי הבית שהו בו</w:t>
      </w:r>
      <w:r>
        <w:rPr>
          <w:rtl w:val="true"/>
        </w:rPr>
        <w:t xml:space="preserve">. </w:t>
      </w:r>
      <w:r>
        <w:rPr>
          <w:rtl w:val="true"/>
        </w:rPr>
        <w:t>אך כפסע היה בין כך שהרימון יפגע בחדר השינה או בסלון הבית</w:t>
      </w:r>
      <w:r>
        <w:rPr>
          <w:rtl w:val="true"/>
        </w:rPr>
        <w:t xml:space="preserve">. </w:t>
      </w:r>
      <w:r>
        <w:rPr>
          <w:rtl w:val="true"/>
        </w:rPr>
        <w:t>המעשה היה מתוכנן כפי שפורט לעיל והיה טמון בו סיכון רב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שימוש ברימון רסס</w:t>
      </w:r>
      <w:r>
        <w:rPr>
          <w:rtl w:val="true"/>
        </w:rPr>
        <w:t xml:space="preserve">, </w:t>
      </w:r>
      <w:r>
        <w:rPr>
          <w:rtl w:val="true"/>
        </w:rPr>
        <w:t>שפוטנציאל ההרס וההרג שלו בלתי ממוקד וגדול</w:t>
      </w:r>
      <w:r>
        <w:rPr>
          <w:rtl w:val="true"/>
        </w:rPr>
        <w:t xml:space="preserve">, </w:t>
      </w:r>
      <w:r>
        <w:rPr>
          <w:rtl w:val="true"/>
        </w:rPr>
        <w:t>יש בו משום  חומרה מיוחדת</w:t>
      </w:r>
      <w:r>
        <w:rPr>
          <w:rtl w:val="true"/>
        </w:rPr>
        <w:t xml:space="preserve">. </w:t>
      </w:r>
      <w:r>
        <w:rPr>
          <w:rtl w:val="true"/>
        </w:rPr>
        <w:t xml:space="preserve">לא בכדי קבע המחוקק בגין עבירה של שימוש בחומר נפיץ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456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לפיה די בכוונה לגרום נזק לנכס ואין צורך שייגרם נזק </w:t>
      </w:r>
      <w:r>
        <w:rPr>
          <w:rtl w:val="true"/>
        </w:rPr>
        <w:t xml:space="preserve">- </w:t>
      </w:r>
      <w:r>
        <w:rPr>
          <w:rtl w:val="true"/>
        </w:rPr>
        <w:t xml:space="preserve">עונש חמור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העובדה שלא נגרם נזק איננה מפחיתה מחומרת התנהגותו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שימוש ברימון רסס</w:t>
      </w:r>
      <w:r>
        <w:rPr>
          <w:rtl w:val="true"/>
        </w:rPr>
        <w:t xml:space="preserve">, </w:t>
      </w:r>
      <w:r>
        <w:rPr>
          <w:rtl w:val="true"/>
        </w:rPr>
        <w:t>שפגיעתו עלולה להיות קטלנית וזריקתו לעבר בית מגורי אדם</w:t>
      </w:r>
      <w:r>
        <w:rPr>
          <w:rtl w:val="true"/>
        </w:rPr>
        <w:t xml:space="preserve">, </w:t>
      </w:r>
      <w:r>
        <w:rPr>
          <w:rtl w:val="true"/>
        </w:rPr>
        <w:t>יש בו משום סיכון רב ומצדיק ענישה מחמירה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 מקום להטיל עונש שיהא בו כדי להרתיע הן את הנאשם והן אחרים מפני ביצוע מעשים כגון 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 ביהמ</w:t>
      </w:r>
      <w:r>
        <w:rPr>
          <w:rtl w:val="true"/>
        </w:rPr>
        <w:t>"</w:t>
      </w:r>
      <w:r>
        <w:rPr>
          <w:rtl w:val="true"/>
        </w:rPr>
        <w:t>ש מוטלת חובה לגזור עונשים שיבהירו למשתמשים בנשק חם ובפרט בנשק שאינו מדויק</w:t>
      </w:r>
      <w:r>
        <w:rPr>
          <w:rtl w:val="true"/>
        </w:rPr>
        <w:t xml:space="preserve">, </w:t>
      </w:r>
      <w:r>
        <w:rPr>
          <w:rtl w:val="true"/>
        </w:rPr>
        <w:t>כגון רימון רסס</w:t>
      </w:r>
      <w:r>
        <w:rPr>
          <w:rtl w:val="true"/>
        </w:rPr>
        <w:t xml:space="preserve">, </w:t>
      </w:r>
      <w:r>
        <w:rPr>
          <w:rtl w:val="true"/>
        </w:rPr>
        <w:t>כי דינם להיאסר לתקופה משמעותית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 לשקול לטובת הנאשם את הודאתו בעובדות כתב האישום והחיסכון בזמן שיפוטי יקר</w:t>
      </w:r>
      <w:r>
        <w:rPr>
          <w:rtl w:val="true"/>
        </w:rPr>
        <w:t xml:space="preserve">. </w:t>
      </w:r>
      <w:r>
        <w:rPr>
          <w:rtl w:val="true"/>
        </w:rPr>
        <w:t>אלמלא כן</w:t>
      </w:r>
      <w:r>
        <w:rPr>
          <w:rtl w:val="true"/>
        </w:rPr>
        <w:t xml:space="preserve">, </w:t>
      </w:r>
      <w:r>
        <w:rPr>
          <w:rtl w:val="true"/>
        </w:rPr>
        <w:t>היה מקום להטיל על הנאשם עונש חמור 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הודה כבר בשלב חקירתו במשטרה והודאתו מהווה</w:t>
      </w:r>
      <w:r>
        <w:rPr>
          <w:rtl w:val="true"/>
        </w:rPr>
        <w:t xml:space="preserve">, </w:t>
      </w:r>
      <w:r>
        <w:rPr>
          <w:rtl w:val="true"/>
        </w:rPr>
        <w:t>כפי הנראה</w:t>
      </w:r>
      <w:r>
        <w:rPr>
          <w:rtl w:val="true"/>
        </w:rPr>
        <w:t xml:space="preserve">, </w:t>
      </w:r>
      <w:r>
        <w:rPr>
          <w:rtl w:val="true"/>
        </w:rPr>
        <w:t>ראיה חשובה במשפט המתנהל נגד עלי והאחר</w:t>
      </w:r>
      <w:r>
        <w:rPr>
          <w:rtl w:val="true"/>
        </w:rPr>
        <w:t xml:space="preserve">. </w:t>
      </w:r>
      <w:r>
        <w:rPr>
          <w:rtl w:val="true"/>
        </w:rPr>
        <w:t>אם כי</w:t>
      </w:r>
      <w:r>
        <w:rPr>
          <w:rtl w:val="true"/>
        </w:rPr>
        <w:t xml:space="preserve">, </w:t>
      </w:r>
      <w:r>
        <w:rPr>
          <w:rtl w:val="true"/>
        </w:rPr>
        <w:t>הנאשם בחר שם שלא להעיד נגדם והוכרז עד עוין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הנאשם צעיר 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 ולחובתו הרשעה אחת בלבד מ</w:t>
      </w:r>
      <w:r>
        <w:rPr>
          <w:rtl w:val="true"/>
        </w:rPr>
        <w:t>-</w:t>
      </w:r>
      <w:r>
        <w:rPr/>
        <w:t>18.3.09</w:t>
      </w:r>
      <w:r>
        <w:rPr>
          <w:rtl w:val="true"/>
        </w:rPr>
        <w:t xml:space="preserve">, </w:t>
      </w:r>
      <w:r>
        <w:rPr>
          <w:rtl w:val="true"/>
        </w:rPr>
        <w:t>בגין עבירה של תקיפת שוטר בעת מילוי תפקידו</w:t>
      </w:r>
      <w:r>
        <w:rPr>
          <w:rtl w:val="true"/>
        </w:rPr>
        <w:t xml:space="preserve">. </w:t>
      </w:r>
      <w:r>
        <w:rPr>
          <w:rtl w:val="true"/>
        </w:rPr>
        <w:t xml:space="preserve">בגין עבירה זו נדון הנאשם לקנס בסך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ומאסר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עבירה דומה</w:t>
      </w:r>
      <w:r>
        <w:rPr>
          <w:rtl w:val="true"/>
        </w:rPr>
        <w:t xml:space="preserve">. </w:t>
      </w:r>
      <w:r>
        <w:rPr>
          <w:rtl w:val="true"/>
        </w:rPr>
        <w:t>זו פעם ראשונה שהנאשם עצור במשך תקופה ממושכת</w:t>
      </w:r>
      <w:r>
        <w:rPr>
          <w:rtl w:val="true"/>
        </w:rPr>
        <w:t xml:space="preserve">, </w:t>
      </w:r>
      <w:r>
        <w:rPr>
          <w:rtl w:val="true"/>
        </w:rPr>
        <w:t>של 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מדובר במאסר ראשון שיוטל על הנאשם</w:t>
      </w:r>
      <w:r>
        <w:rPr>
          <w:rtl w:val="true"/>
        </w:rPr>
        <w:t xml:space="preserve">. </w:t>
      </w:r>
      <w:r>
        <w:rPr>
          <w:rtl w:val="true"/>
        </w:rPr>
        <w:t>יש לקוות כי הנאשם אכן ילמד את הלקח ולאחר ריצוי המאסר</w:t>
      </w:r>
      <w:r>
        <w:rPr>
          <w:rtl w:val="true"/>
        </w:rPr>
        <w:t xml:space="preserve">, </w:t>
      </w:r>
      <w:r>
        <w:rPr>
          <w:rtl w:val="true"/>
        </w:rPr>
        <w:t>יפנה לאפיק חיובי ויהיה אזרח הגון כפי שטען הסנגור המלומד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גזירת הדין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 ששקללתי את הנסיבות לחומרה והאינטרס הציבורי עם כל הנסיבות לקולא ואת מלוא טענות הסנגור</w:t>
      </w:r>
      <w:r>
        <w:rPr>
          <w:rtl w:val="true"/>
        </w:rPr>
        <w:t xml:space="preserve">, </w:t>
      </w:r>
      <w:r>
        <w:rPr>
          <w:rtl w:val="true"/>
        </w:rPr>
        <w:t>הנני מטילה על הנאשם עונש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מאסר לתקופה של חמש שנים</w:t>
      </w:r>
      <w:r>
        <w:rPr>
          <w:rtl w:val="true"/>
        </w:rPr>
        <w:t xml:space="preserve">, </w:t>
      </w:r>
      <w:r>
        <w:rPr>
          <w:rtl w:val="true"/>
        </w:rPr>
        <w:t>מתוכן ירצה הנאשם שלוש שנות מאסר בפועל והיתרה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 יעבור בתוך שלוש שנים עבירה מן העבירות בגינן הורשע</w:t>
      </w:r>
      <w:r>
        <w:rPr>
          <w:rtl w:val="true"/>
        </w:rPr>
        <w:t xml:space="preserve">. </w:t>
      </w:r>
      <w:r>
        <w:rPr>
          <w:rtl w:val="true"/>
        </w:rPr>
        <w:t>תקופת המאסר בפועל תימנה מיום מעצרו</w:t>
      </w:r>
      <w:r>
        <w:rPr>
          <w:rtl w:val="true"/>
        </w:rPr>
        <w:t xml:space="preserve">, </w:t>
      </w:r>
      <w:r>
        <w:rPr/>
        <w:t>25.12.08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הנאשם ישלם 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כיוון שלא נגרם נזק והסכסוך לא היה בין הנאשם למתלונן</w:t>
      </w:r>
      <w:r>
        <w:rPr>
          <w:rtl w:val="true"/>
        </w:rPr>
        <w:t xml:space="preserve">, </w:t>
      </w:r>
      <w:r>
        <w:rPr>
          <w:rtl w:val="true"/>
        </w:rPr>
        <w:t>אינני רואה מקום לקבוע פיצויים למתלונן בהליך זה</w:t>
      </w:r>
      <w:r>
        <w:rPr>
          <w:rtl w:val="true"/>
        </w:rPr>
        <w:t xml:space="preserve">. </w:t>
      </w:r>
      <w:r>
        <w:rPr>
          <w:rtl w:val="true"/>
        </w:rPr>
        <w:t>אין בקביעה זו כדי לקבוע עמדה כלשהי לעניין תביעה אזרחית שהמתלונן רשאי להגיש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 xml:space="preserve">זכות ערעור לבית המשפט העליון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30/07/2009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חני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הורוביץ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ציפה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זנדברג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/Users/liorb/Downloads/study2025-p2/ME-09-01-5739-516.doc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5739-01-09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וואיל היב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5739-01-09"/>
    <w:docVar w:name="caseId" w:val="12123886"/>
    <w:docVar w:name="deriveClass" w:val="NGCS.Protocol.BL.Client.ProtocolBLClientCriminal"/>
    <w:docVar w:name="firstPageNumber" w:val="19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413409"/>
    <w:docVar w:name="releaseSign" w:val="0"/>
    <w:docVar w:name="sittingDateTime" w:val="30/07/2009 12:00     "/>
    <w:docVar w:name="sittingId" w:val="15691331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56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56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/456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2016-09-21T15:36:00Z</dcterms:created>
  <dc:creator> </dc:creator>
  <dc:description/>
  <cp:keywords/>
  <dc:language>en-IL</dc:language>
  <cp:lastModifiedBy>orit</cp:lastModifiedBy>
  <cp:lastPrinted>2009-07-30T13:23:00Z</cp:lastPrinted>
  <dcterms:modified xsi:type="dcterms:W3CDTF">2016-09-21T15:36:00Z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וואיל היב</vt:lpwstr>
  </property>
  <property fmtid="{D5CDD505-2E9C-101B-9397-08002B2CF9AE}" pid="4" name="CITY">
    <vt:lpwstr>חי'</vt:lpwstr>
  </property>
  <property fmtid="{D5CDD505-2E9C-101B-9397-08002B2CF9AE}" pid="5" name="DATE">
    <vt:lpwstr>20090730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חני הורוביץ</vt:lpwstr>
  </property>
  <property fmtid="{D5CDD505-2E9C-101B-9397-08002B2CF9AE}" pid="9" name="LAWLISTTMP1">
    <vt:lpwstr>70301/144.b;029:2;456:2</vt:lpwstr>
  </property>
  <property fmtid="{D5CDD505-2E9C-101B-9397-08002B2CF9AE}" pid="10" name="LAWYER">
    <vt:lpwstr>אביעד רייפר;שגב אדלר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5739</vt:lpwstr>
  </property>
  <property fmtid="{D5CDD505-2E9C-101B-9397-08002B2CF9AE}" pid="24" name="NEWPARTB">
    <vt:lpwstr>01</vt:lpwstr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390020090730</vt:lpwstr>
  </property>
  <property fmtid="{D5CDD505-2E9C-101B-9397-08002B2CF9AE}" pid="36" name="TYPE_N_DATE">
    <vt:lpwstr>39020090730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