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57474-03-19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חדיר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כהן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לקח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מרים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ועו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גלעד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סוקולובר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פמ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חדיר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רחמן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חדיר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חדיר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כרים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חדיר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5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חדיר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6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חדיר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5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 </w:t>
              <w:br/>
              <w:t xml:space="preserve">–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עותמאן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6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 </w:t>
              <w:br/>
              <w:t xml:space="preserve">–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סימון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חדאד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45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עיקרי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העובדות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u w:val="single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329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22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וסעיף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329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u w:val="single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  <w:u w:val="single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  <w:u w:val="single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333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335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ובצירוף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29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u w:val="single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  <w:u w:val="single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382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380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ובצירוף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1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29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הרקע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הנדונות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שבעובדותיו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המתגוררת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עודתאללה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עודתאללה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11.8.2017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אושפז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נמרץ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אחסאן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אחסאן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13.9.2018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אחסאן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אלרחמן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עותדאללה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מוסטפא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28.2.2019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השייכת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נשרפה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גמלה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בשועפט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שיחסום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ולתקוף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השתלשלות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9.3.2019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לתוקפו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21:40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טורנאו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קונקט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הקונקט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בשועפט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קוטרו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0.22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21:47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פוקוס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בבעלותו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הפוקוס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שועפט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הכביש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21:54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לנטיס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המאזדה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סיבוב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לקונקט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יונדאי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גטס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הגטס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שועפט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הרמזור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שועפט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לתנועת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בכביש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הפוקוס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הגטס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ברמזור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הרמזור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לירוק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הגטס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הפוקוס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נאלץ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החסימה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והמאזדה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החסימה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הפוקוס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הגטס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מהגטס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פאראבלום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0.22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בבטן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העורקים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בעכוז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הירכיים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והונשם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כירורגי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באשפוז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12.3.2019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בעטיו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ואושפז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17.3.2019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בסרעפת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בעטיין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ואושפז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16.3.2019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יוכלו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מודיעיניים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יבוטל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יבוטל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תיוותר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ההרחקה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שועפט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בוטלה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 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לסוגיה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שמשותפת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bCs/>
          <w:spacing w:val="10"/>
          <w:sz w:val="22"/>
          <w:szCs w:val="28"/>
          <w:u w:val="single"/>
        </w:rPr>
      </w:pP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אי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העמדתו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לדין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פארס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בגין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גרימת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החבלה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לנאשמים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</w:rPr>
        <w:t>1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</w:rPr>
        <w:t>2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  <w:rtl w:val="true"/>
        </w:rPr>
        <w:t xml:space="preserve">,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ומשמעות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הדבר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במסגרת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גזירת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דינם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הנאשמים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מודיעינית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המודיעינית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גלוי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מעוניינת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שנמחקה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ההתפתחויות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המודיע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זנדברג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החיסיון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שזוכו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המודיעינית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5033/19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19.8.2019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והורשעו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במלאכת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וההגינות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וניכרת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ונדרשו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לאשפוזים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ולטיפולים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רפואיים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ומורשעים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דוקטרינת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שתוצאתה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דוקטרינת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שהדוקטרינה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לעקרונות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שהדוקטרינה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hyperlink r:id="rId3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יא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9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וההגינות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המשלימים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הדוקטרינה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מרשיהם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שנסיבותיהם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שיזמו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ותכננו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זעקת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הנגזל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שבסופה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מהמתחמים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דוקטרינת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האכיפה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הכרוכים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3506/13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12.1.2016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שכנעו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המודיעיני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בהפעלת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ומקצועיים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לדוקטרינת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והשאלה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באיזו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מידה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מכוון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רשלני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בהתנהלות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7621/14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גוטסדינר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1.3.2017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כב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וההגינות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מקצועיים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וענייניים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47-48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כב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ערטילאית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וההגינות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שננקטו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המתחייבת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דוקטרינת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שננקטו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כב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ברק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ארז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מכוונת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בהפליה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47-48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לדוקטרינה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לעקרונותיו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המשלימים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7621/14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גוטסדינר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יתכן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וישאל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השואל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משמעותה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הגנה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הבאה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לידי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ביטוי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בגזר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שתיקון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</w:rPr>
        <w:t>113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41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ובפרט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סעיף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40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יא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מאפשר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לבית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לשקול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שאינן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קשורות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בביצוע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בקבעו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יתרה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בסעיף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40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ט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נסיבות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spacing w:val="10"/>
          <w:rtl w:val="true"/>
        </w:rPr>
        <w:t>הקשורות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בביצוע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העבירה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–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מוזכר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בסעיף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5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: 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הסיבות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שהביאו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לבצע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סעיף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40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יא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,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שעניינו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נסיבות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שאינן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קשורות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בביצוע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מופיע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בתת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סעיף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9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: 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התנהגות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רשויות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אכיפת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בתת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סעיף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10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: 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חלוף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הזמן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מעת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אמנם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העניין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האחרון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נטען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בענייננו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אך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פעמים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שטענה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זו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מוזכרת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כחלק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מטענת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הגנה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אף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בלא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הגנה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הצדק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ובית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שוקל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נסיבות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אלה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לקולא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בגזירת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הקשר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טענה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להגנה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ותיקון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</w:rPr>
        <w:t>113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43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?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התשובה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כפולה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מהותית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ופורמאלית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Miriam" w:hAnsi="Miriam" w:cs="Miriam"/>
          <w:rtl w:val="true"/>
        </w:rPr>
        <w:t>במובן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המהותי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חפיפה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מסוימת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המסגרות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והעניין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מעיד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אחידות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בתפיסה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העונשית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מכאן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נסיק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שכשם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שהגישה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העונשית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בשיטה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הישראלית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אינדיבידואלית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יישום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הגנה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לצד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החפיפה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החלקית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הבדלים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מהותיים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המסגרות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החלת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הדוקטרינה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[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הגנה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]</w:t>
      </w:r>
      <w:r>
        <w:rPr>
          <w:rFonts w:cs="FrankRuehl" w:ascii="FrankRuehl" w:hAnsi="FrankRuehl"/>
          <w:spacing w:val="10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משמעותה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היא</w:t>
      </w:r>
      <w:r>
        <w:rPr>
          <w:rFonts w:cs="FrankRuehl" w:ascii="FrankRuehl" w:hAnsi="FrankRuehl"/>
          <w:spacing w:val="10"/>
          <w:sz w:val="28"/>
          <w:szCs w:val="28"/>
          <w:u w:val="single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כפי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שציינתי</w:t>
      </w:r>
      <w:r>
        <w:rPr>
          <w:rFonts w:cs="FrankRuehl" w:ascii="FrankRuehl" w:hAnsi="FrankRuehl"/>
          <w:spacing w:val="10"/>
          <w:sz w:val="28"/>
          <w:szCs w:val="28"/>
          <w:u w:val="single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שעוצמת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הנסיבות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העוטפות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את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רגע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האירוע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היא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כזו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שיש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בה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כדי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להשפיע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לא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רק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על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הנסיבות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שאינן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קשורות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בביצוע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העבירה</w:t>
      </w:r>
      <w:r>
        <w:rPr>
          <w:rFonts w:cs="FrankRuehl" w:ascii="FrankRuehl" w:hAnsi="FrankRuehl"/>
          <w:spacing w:val="10"/>
          <w:sz w:val="28"/>
          <w:szCs w:val="28"/>
          <w:u w:val="single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אלא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אף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על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מעשה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העבירה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עצמו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Miriam" w:hAnsi="Miriam" w:cs="Miriam"/>
          <w:rtl w:val="true"/>
        </w:rPr>
        <w:t>במובן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הפורמאלי</w:t>
      </w:r>
      <w:r>
        <w:rPr>
          <w:rFonts w:cs="Miriam" w:ascii="Miriam" w:hAnsi="Miriam"/>
          <w:rtl w:val="true"/>
        </w:rPr>
        <w:t>,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לידי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ביטוי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שבעוד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שההתחשבות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שאינן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קשורות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בביצועה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תיקון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</w:rPr>
        <w:t>113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44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עשויה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להשפיע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גזירת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בתוך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החלת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הגנה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מן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הצדק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עשויה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להשפיע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אף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על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קביעת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מתחם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העונש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עצמו</w:t>
      </w:r>
      <w:r>
        <w:rPr>
          <w:rFonts w:cs="FrankRuehl" w:ascii="FrankRuehl" w:hAnsi="FrankRuehl"/>
          <w:spacing w:val="10"/>
          <w:sz w:val="28"/>
          <w:szCs w:val="28"/>
          <w:u w:val="single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או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ליתר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דיוק</w:t>
      </w:r>
      <w:r>
        <w:rPr>
          <w:rFonts w:cs="FrankRuehl" w:ascii="FrankRuehl" w:hAnsi="FrankRuehl"/>
          <w:spacing w:val="10"/>
          <w:sz w:val="28"/>
          <w:szCs w:val="28"/>
          <w:u w:val="single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על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נקודת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ההתחלה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ואף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על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נקודת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הסוף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של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התוצאה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העונשית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".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ניישם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שעוצמתה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עוטפת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וההגינות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שיזמו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ותכננו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ומתוכנן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נמחקה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מהמתחמים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מתעוררת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המשמעותיות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1-2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והורשעו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הקונקרטיות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לעקרונות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יב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ההתחשבות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העקרוני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למלאכת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ואסיים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גזירת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דינו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</w:rPr>
        <w:t>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לחמישה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מנישואיו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במשמורתו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מנישואיו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ומצומצם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טשטוש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לקונפליקטים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שעודנו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מאופיין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ובדפוסי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מופנמים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וביקורתית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הדאגה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ולילדיו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ולניסיונותיו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תעסוקתית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תציב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להתנהגותו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לסביבתו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התיישנו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בחתימת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צנעת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חיסכון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להשתחרר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ולטפל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הערכים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והנפש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ובטחונו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ביודעם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0.22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שקוטרו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פציעות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הפוטנציאלי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ודומיננטי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ממחוללי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שחשד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שהמארב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תוכנן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להצטייד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–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בתכנונו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ובביצועו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מתרחש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8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4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50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התאמן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שיזמו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להצטייד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ולהביאו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שתוכנן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שהתלוו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הגלומה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מחלוקות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מרתיע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האינדיבידואלי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פוטנציאליים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5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4173/07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16.8.2007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ההכרח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להוקיע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סכסוכים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5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4406/19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סובח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5.11.2019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5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8462/15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30.11.2016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ומתוכנן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הצטיידות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וקרשים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שחייבו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ואשפוז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הצטייד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5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8462/15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5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1509/20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נבארי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2.7.2020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מאולתר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0.22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5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1509/20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נבארי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נלוותה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5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1509/20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נבארי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בהתחשב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בערכים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שנפגעו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ובעוצמת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הפגיעה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בערכים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במדיניות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הענישה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הנוהגת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ובעקרון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ההלימה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המהווה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עקרון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מנחה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בענישה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סבורה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color w:val="000000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pacing w:val="10"/>
          <w:sz w:val="28"/>
          <w:sz w:val="28"/>
          <w:szCs w:val="28"/>
          <w:rtl w:val="true"/>
        </w:rPr>
        <w:t>ההולם</w:t>
      </w:r>
      <w:r>
        <w:rPr>
          <w:rFonts w:ascii="Century" w:hAnsi="Century" w:eastAsia="Century" w:cs="Century"/>
          <w:color w:val="000000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בהן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נע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40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6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1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המתחם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יא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5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1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הצטיידות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ועשיית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מאופיין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ובדפוסי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מופנמים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וביקורתית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בהסתבכות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התיישנו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פציעות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ולאשפוז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מפציעות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לפציעותיו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מודיעיניים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6-13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החיסכון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במשאבים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החיסכון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בזמן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שיפוטי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מאד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להימשך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זמן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המאשימה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חושבת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הספציפי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משקל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מהותיים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14-15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רביעית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מטפלת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בחמשת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מנישואיו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ייחודי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הפציעות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משאבים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בהגינותה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גזירת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דינם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נאשמים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</w:rPr>
        <w:t>2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  <w:rtl w:val="true"/>
        </w:rPr>
        <w:t xml:space="preserve">, 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</w:rPr>
        <w:t>3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  <w:rtl w:val="true"/>
        </w:rPr>
        <w:t xml:space="preserve">- 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</w:rPr>
        <w:t>6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תסקירי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השיפוצים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והרתכות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ואמפטיה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חינוכו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ונאמנות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בבסיסו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ולחלופין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משאית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נשרפה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המורחבת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כאחראי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כינוס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בכבודו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העצמי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המורחבת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בתוצאות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למפגשים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למחויבות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ולנאמנות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ההמלצה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כאינסטלטור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ואמפתיה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והזדהות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ולחלופין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כגנוב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השדרה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2.5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מודיעיניים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ונטילת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מרשיהם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הסתפקות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ושאיפה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2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3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6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הערכים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שתכננו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המתוכנן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29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המשתתפים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לביצועה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מבצעים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בצוותא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נפקא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נעשו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ביחד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נעשו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מקצתם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ומקצתם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6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2350/14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עברי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לעניין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בצוותא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תכנון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מוקדם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משותף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לפרטי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פרטיה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נחוץ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בפועל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יתאם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במדויק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כוונתם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המקורית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המשתתפים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";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ראו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: </w:t>
      </w:r>
      <w:hyperlink r:id="rId63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517/08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בינייב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29.6.2009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פס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5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כמבצעים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המבוצעת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בחבורה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מפתרון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סכסוכים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במנעד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רחב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מושפע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39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כמבצעים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ומתוכנן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הופתע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3.5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cs="FrankRuehl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האמפטיה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2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3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6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המתחם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לחובתם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בהרתעת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לטובתם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החיסכון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במשאבים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התאפיין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הפציעות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הגופניות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1-2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לפציעותיהם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מודיעיניים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6-13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מפרנסים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ובראשן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ונטילת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הייחודיות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בנשיאתו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44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בהסתבכות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כשבעה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24.10.2019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שוחררו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29.10.2019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כשלושה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11.6.2019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29.10.2019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גזירת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דינם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נאשמים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</w:rPr>
        <w:t>4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Century" w:hAnsi="Century"/>
          <w:b/>
          <w:bCs/>
          <w:spacing w:val="10"/>
          <w:sz w:val="22"/>
          <w:szCs w:val="28"/>
          <w:u w:val="single"/>
        </w:rPr>
        <w:t>5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תסקירי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45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כחשמלאי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מתפקד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ששוללות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לגיטימיות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ולחלופין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46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כעצמאי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בעסקי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והגרירה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התרופפו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שבגללם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לסיטואציה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שמשפיעים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נקלעו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לסיטואציה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15.6.2020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31-32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התפרעות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ההתפרעות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המשתייך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49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הניתנים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נרחבות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בקיומן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4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5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51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הערכים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שתכננה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בכביש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מהמארב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המתוכנן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מרכבם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התקרבו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,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התקרבו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52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ומקרה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מרתיעה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המבוצעות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בחבורה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קצרה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53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כמבצעים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בחבורה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מרכבם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התקרבו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cs="FrankRuehl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4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5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המתחם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4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התפרעות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55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4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5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החיסכון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במשאבים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התאפיין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שפארס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1-2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לפציעותיהם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מודיעיניים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6-13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מפרנסים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כשלושה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12.3.2019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11.6.2019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כארבעה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29.10.2019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56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bCs/>
          <w:spacing w:val="10"/>
          <w:sz w:val="22"/>
          <w:szCs w:val="28"/>
          <w:u w:val="single"/>
        </w:rPr>
      </w:pP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סוף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57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cs="FrankRuehl" w:ascii="Arial TUR;Arial" w:hAnsi="Arial TUR;Arial"/>
          <w:spacing w:val="10"/>
          <w:sz w:val="22"/>
          <w:szCs w:val="28"/>
        </w:rPr>
        <w:t>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6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6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66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67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6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69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340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u w:val="single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7.1.2021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במפקדת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מוזהר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ובביקורות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הפתע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מנהלית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כותלי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u w:val="single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  <w:u w:val="single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יוכלו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10.12.2020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במפקדת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8.12.2020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במפקדת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מגוריהם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מוזהרים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ובביקורות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הפתע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מנהלית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כותלי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u w:val="single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  <w:u w:val="single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cs="FrankRuehl" w:ascii="Arial TUR;Arial" w:hAnsi="Arial TUR;Arial"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יוכלו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5.1.2021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במפקדת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7.1.2020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במפקדת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מגוריהם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מוזהרים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ובביקורות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הפתע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מנהלית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כותלי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המזכירות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ab/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54678313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02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ספטמבר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71"/>
      <w:footerReference w:type="default" r:id="rId7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57474-03-19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אבו חדיר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Symbol" w:hAnsi="Symbol" w:eastAsia="Times New Roman" w:cs="Symbol"/>
      <w:sz w:val="2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ascii="Wingdings" w:hAnsi="Wingdings" w:eastAsia="Times New Roman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/>
  </w:style>
  <w:style w:type="character" w:styleId="Ruller3">
    <w:name w:val="Ruller 3 תו"/>
    <w:qFormat/>
    <w:rPr>
      <w:rFonts w:ascii="Century" w:hAnsi="Century" w:eastAsia="Times New Roman" w:cs="FrankRuehl"/>
      <w:spacing w:val="10"/>
      <w:szCs w:val="28"/>
    </w:rPr>
  </w:style>
  <w:style w:type="character" w:styleId="BodyRuller">
    <w:name w:val="Body Ruller תו"/>
    <w:qFormat/>
    <w:rPr>
      <w:rFonts w:ascii="Century" w:hAnsi="Century" w:eastAsia="Times New Roman" w:cs="FrankRuehl"/>
      <w:spacing w:val="10"/>
      <w:szCs w:val="28"/>
    </w:rPr>
  </w:style>
  <w:style w:type="character" w:styleId="Ruller38">
    <w:name w:val="סגנון Ruller 3 + (מורכב) ‏8 נק תו"/>
    <w:qFormat/>
    <w:rPr>
      <w:rFonts w:ascii="Century" w:hAnsi="Century" w:eastAsia="Times New Roman" w:cs="FrankRuehl"/>
      <w:spacing w:val="10"/>
      <w:szCs w:val="16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Ruller4">
    <w:name w:val="Ruller4 תו"/>
    <w:qFormat/>
    <w:rPr>
      <w:rFonts w:ascii="Arial TUR;Arial" w:hAnsi="Arial TUR;Arial" w:eastAsia="Times New Roman" w:cs="FrankRuehl"/>
      <w:spacing w:val="10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Century" w:hAnsi="Century"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Century" w:hAnsi="Century" w:cs="FrankRuehl"/>
      <w:b/>
      <w:bCs/>
      <w:spacing w:val="10"/>
      <w:sz w:val="20"/>
      <w:szCs w:val="28"/>
      <w:u w:val="single"/>
    </w:rPr>
  </w:style>
  <w:style w:type="paragraph" w:styleId="FileNumber">
    <w:name w:val="File Number"/>
    <w:basedOn w:val="Normal"/>
    <w:qFormat/>
    <w:pPr>
      <w:overflowPunct w:val="false"/>
      <w:autoSpaceDE w:val="false"/>
      <w:spacing w:lineRule="auto" w:line="360"/>
      <w:jc w:val="end"/>
      <w:textAlignment w:val="baseline"/>
    </w:pPr>
    <w:rPr>
      <w:rFonts w:ascii="Century" w:hAnsi="Century" w:cs="FrankRuehl"/>
      <w:bCs/>
      <w:spacing w:val="10"/>
      <w:sz w:val="20"/>
      <w:szCs w:val="28"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overflowPunct w:val="false"/>
      <w:autoSpaceDE w:val="false"/>
      <w:spacing w:lineRule="auto" w:line="360"/>
      <w:jc w:val="center"/>
      <w:textAlignment w:val="baseline"/>
    </w:pPr>
    <w:rPr>
      <w:rFonts w:ascii="Century" w:hAnsi="Century" w:cs="FrankRuehl"/>
      <w:b/>
      <w:bCs/>
      <w:i/>
      <w:iCs/>
      <w:spacing w:val="10"/>
      <w:sz w:val="28"/>
      <w:szCs w:val="28"/>
    </w:rPr>
  </w:style>
  <w:style w:type="paragraph" w:styleId="DocumentHead">
    <w:name w:val="Document Head"/>
    <w:basedOn w:val="Normal"/>
    <w:qFormat/>
    <w:pPr>
      <w:overflowPunct w:val="false"/>
      <w:autoSpaceDE w:val="false"/>
      <w:spacing w:lineRule="auto" w:line="360"/>
      <w:jc w:val="center"/>
      <w:textAlignment w:val="baseline"/>
    </w:pPr>
    <w:rPr>
      <w:rFonts w:ascii="Century" w:hAnsi="Century" w:cs="FrankRuehl"/>
      <w:bCs/>
      <w:spacing w:val="30"/>
      <w:sz w:val="20"/>
      <w:szCs w:val="28"/>
      <w:u w:val="single"/>
    </w:rPr>
  </w:style>
  <w:style w:type="paragraph" w:styleId="TfutzaList">
    <w:name w:val="Tfutza List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Century" w:hAnsi="Century" w:cs="FrankRuehl"/>
      <w:i/>
      <w:iCs/>
      <w:spacing w:val="10"/>
      <w:sz w:val="20"/>
      <w:szCs w:val="28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4" w:end="1276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2">
    <w:name w:val="ñâðåï2"/>
    <w:basedOn w:val="Normal"/>
    <w:qFormat/>
    <w:pPr>
      <w:autoSpaceDE w:val="false"/>
      <w:spacing w:lineRule="auto" w:line="360"/>
    </w:pPr>
    <w:rPr>
      <w:rFonts w:ascii="Century" w:hAnsi="Century" w:cs="Times New Roman"/>
      <w:spacing w:val="10"/>
      <w:sz w:val="20"/>
      <w:szCs w:val="28"/>
    </w:rPr>
  </w:style>
  <w:style w:type="paragraph" w:styleId="Casenameintextbody">
    <w:name w:val="Case name in text body"/>
    <w:basedOn w:val="Normal"/>
    <w:qFormat/>
    <w:pPr>
      <w:autoSpaceDE w:val="false"/>
      <w:spacing w:lineRule="auto" w:line="360"/>
      <w:jc w:val="end"/>
    </w:pPr>
    <w:rPr>
      <w:rFonts w:ascii="Century" w:hAnsi="Century" w:cs="Times New Roman"/>
      <w:b/>
      <w:bCs/>
      <w:spacing w:val="10"/>
      <w:sz w:val="20"/>
      <w:szCs w:val="28"/>
      <w:u w:val="single"/>
    </w:rPr>
  </w:style>
  <w:style w:type="paragraph" w:styleId="precasestyle">
    <w:name w:val="pre_case style"/>
    <w:basedOn w:val="Normal"/>
    <w:qFormat/>
    <w:pPr>
      <w:autoSpaceDE w:val="false"/>
      <w:spacing w:lineRule="auto" w:line="360"/>
      <w:ind w:hanging="0" w:start="0" w:end="2549"/>
    </w:pPr>
    <w:rPr>
      <w:rFonts w:ascii="Century" w:hAnsi="Century" w:cs="Times New Roman"/>
      <w:spacing w:val="10"/>
      <w:sz w:val="20"/>
      <w:szCs w:val="28"/>
    </w:rPr>
  </w:style>
  <w:style w:type="paragraph" w:styleId="BodyRuller1">
    <w:name w:val="Body Ruller"/>
    <w:basedOn w:val="Normal"/>
    <w:qFormat/>
    <w:pPr>
      <w:overflowPunct w:val="false"/>
      <w:autoSpaceDE w:val="false"/>
      <w:spacing w:lineRule="auto" w:line="360"/>
      <w:textAlignment w:val="baseline"/>
    </w:pPr>
    <w:rPr>
      <w:rFonts w:ascii="Century" w:hAnsi="Century" w:cs="FrankRuehl"/>
      <w:spacing w:val="10"/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ind w:hanging="720" w:start="1080" w:end="0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  <w:ind w:hanging="720" w:start="1080" w:end="0"/>
    </w:pPr>
    <w:rPr/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2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340a.b" TargetMode="External"/><Relationship Id="rId14" Type="http://schemas.openxmlformats.org/officeDocument/2006/relationships/hyperlink" Target="http://www.nevo.co.il/law/70301/380" TargetMode="External"/><Relationship Id="rId15" Type="http://schemas.openxmlformats.org/officeDocument/2006/relationships/hyperlink" Target="http://www.nevo.co.il/law/70301/382.a" TargetMode="External"/><Relationship Id="rId16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/40ja.9" TargetMode="External"/><Relationship Id="rId18" Type="http://schemas.openxmlformats.org/officeDocument/2006/relationships/hyperlink" Target="http://www.nevo.co.il/law/70301/40jb" TargetMode="External"/><Relationship Id="rId19" Type="http://schemas.openxmlformats.org/officeDocument/2006/relationships/hyperlink" Target="http://www.nevo.co.il/law/98569" TargetMode="External"/><Relationship Id="rId20" Type="http://schemas.openxmlformats.org/officeDocument/2006/relationships/hyperlink" Target="http://www.nevo.co.il/law/98569/45" TargetMode="External"/><Relationship Id="rId21" Type="http://schemas.openxmlformats.org/officeDocument/2006/relationships/hyperlink" Target="http://www.nevo.co.il/law/70301/329.a.1" TargetMode="External"/><Relationship Id="rId22" Type="http://schemas.openxmlformats.org/officeDocument/2006/relationships/hyperlink" Target="http://www.nevo.co.il/law/70301/329.a.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340a.b" TargetMode="External"/><Relationship Id="rId26" Type="http://schemas.openxmlformats.org/officeDocument/2006/relationships/hyperlink" Target="http://www.nevo.co.il/law/70301/333" TargetMode="External"/><Relationship Id="rId27" Type="http://schemas.openxmlformats.org/officeDocument/2006/relationships/hyperlink" Target="http://www.nevo.co.il/law/70301/335.a.2" TargetMode="External"/><Relationship Id="rId28" Type="http://schemas.openxmlformats.org/officeDocument/2006/relationships/hyperlink" Target="http://www.nevo.co.il/law/70301/29.a" TargetMode="External"/><Relationship Id="rId29" Type="http://schemas.openxmlformats.org/officeDocument/2006/relationships/hyperlink" Target="http://www.nevo.co.il/law/70301/382.a" TargetMode="External"/><Relationship Id="rId30" Type="http://schemas.openxmlformats.org/officeDocument/2006/relationships/hyperlink" Target="http://www.nevo.co.il/law/70301/380" TargetMode="External"/><Relationship Id="rId31" Type="http://schemas.openxmlformats.org/officeDocument/2006/relationships/hyperlink" Target="http://www.nevo.co.il/law/70301/29.a" TargetMode="External"/><Relationship Id="rId32" Type="http://schemas.openxmlformats.org/officeDocument/2006/relationships/hyperlink" Target="http://www.nevo.co.il/law/98569/45" TargetMode="External"/><Relationship Id="rId33" Type="http://schemas.openxmlformats.org/officeDocument/2006/relationships/hyperlink" Target="http://www.nevo.co.il/law/98569" TargetMode="External"/><Relationship Id="rId34" Type="http://schemas.openxmlformats.org/officeDocument/2006/relationships/hyperlink" Target="http://www.nevo.co.il/case/25896356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ja.9" TargetMode="External"/><Relationship Id="rId37" Type="http://schemas.openxmlformats.org/officeDocument/2006/relationships/hyperlink" Target="http://www.nevo.co.il/case/7009926" TargetMode="External"/><Relationship Id="rId38" Type="http://schemas.openxmlformats.org/officeDocument/2006/relationships/hyperlink" Target="http://www.nevo.co.il/case/18653868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18653868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jb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144.b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44.a" TargetMode="External"/><Relationship Id="rId51" Type="http://schemas.openxmlformats.org/officeDocument/2006/relationships/hyperlink" Target="http://www.nevo.co.il/case/637380" TargetMode="External"/><Relationship Id="rId52" Type="http://schemas.openxmlformats.org/officeDocument/2006/relationships/hyperlink" Target="http://www.nevo.co.il/case/25824863" TargetMode="External"/><Relationship Id="rId53" Type="http://schemas.openxmlformats.org/officeDocument/2006/relationships/hyperlink" Target="http://www.nevo.co.il/case/20787998" TargetMode="External"/><Relationship Id="rId54" Type="http://schemas.openxmlformats.org/officeDocument/2006/relationships/hyperlink" Target="http://www.nevo.co.il/case/20787998" TargetMode="External"/><Relationship Id="rId55" Type="http://schemas.openxmlformats.org/officeDocument/2006/relationships/hyperlink" Target="http://www.nevo.co.il/case/26492590" TargetMode="External"/><Relationship Id="rId56" Type="http://schemas.openxmlformats.org/officeDocument/2006/relationships/hyperlink" Target="http://www.nevo.co.il/case/26492590" TargetMode="External"/><Relationship Id="rId57" Type="http://schemas.openxmlformats.org/officeDocument/2006/relationships/hyperlink" Target="http://www.nevo.co.il/case/26492590" TargetMode="External"/><Relationship Id="rId58" Type="http://schemas.openxmlformats.org/officeDocument/2006/relationships/hyperlink" Target="http://www.nevo.co.il/law/70301/40j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29.b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13087555" TargetMode="External"/><Relationship Id="rId63" Type="http://schemas.openxmlformats.org/officeDocument/2006/relationships/hyperlink" Target="http://www.nevo.co.il/case/5706991" TargetMode="External"/><Relationship Id="rId64" Type="http://schemas.openxmlformats.org/officeDocument/2006/relationships/hyperlink" Target="http://www.nevo.co.il/law/70301/144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340a" TargetMode="External"/><Relationship Id="rId67" Type="http://schemas.openxmlformats.org/officeDocument/2006/relationships/hyperlink" Target="http://www.nevo.co.il/law/70301/144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340a" TargetMode="External"/><Relationship Id="rId70" Type="http://schemas.openxmlformats.org/officeDocument/2006/relationships/hyperlink" Target="http://www.nevo.co.il/advertisements/nevo-100.doc" TargetMode="External"/><Relationship Id="rId71" Type="http://schemas.openxmlformats.org/officeDocument/2006/relationships/header" Target="header1.xml"/><Relationship Id="rId72" Type="http://schemas.openxmlformats.org/officeDocument/2006/relationships/footer" Target="footer1.xm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2021-10-03T12:17:00Z</dcterms:created>
  <dc:creator> </dc:creator>
  <dc:description/>
  <cp:keywords/>
  <dc:language>en-IL</dc:language>
  <cp:lastModifiedBy>h1</cp:lastModifiedBy>
  <dcterms:modified xsi:type="dcterms:W3CDTF">2021-10-03T12:17:00Z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אבו חדיר;עבד אל רחמן אבו חדיר;מחמוד אבו חדיר;כרים אבו חדיר;מוחמד אבו חדיר;מוחמד אבו חדיר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25896356;7009926;18653868:2;637380;25824863;20787998:2;26492590:3;13087555;5706991</vt:lpwstr>
  </property>
  <property fmtid="{D5CDD505-2E9C-101B-9397-08002B2CF9AE}" pid="9" name="CITY">
    <vt:lpwstr>י-ם</vt:lpwstr>
  </property>
  <property fmtid="{D5CDD505-2E9C-101B-9397-08002B2CF9AE}" pid="10" name="DATE">
    <vt:lpwstr>20200902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70301/329.a.1;329.a.2;144.b:2;340a.b;333;335.a.2;029.a:2;382.a;380;40ja.9;40jb;144.a;40ja;029.b;144:2;340a:2</vt:lpwstr>
  </property>
  <property fmtid="{D5CDD505-2E9C-101B-9397-08002B2CF9AE}" pid="15" name="LAWLISTTMP2">
    <vt:lpwstr>98569/045</vt:lpwstr>
  </property>
  <property fmtid="{D5CDD505-2E9C-101B-9397-08002B2CF9AE}" pid="16" name="LAWYER">
    <vt:lpwstr>מרים בן גל;גלעד סוקולובר;רמי עותמאן;סימון חדאד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57474</vt:lpwstr>
  </property>
  <property fmtid="{D5CDD505-2E9C-101B-9397-08002B2CF9AE}" pid="23" name="NEWPARTB">
    <vt:lpwstr>03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390020200902</vt:lpwstr>
  </property>
  <property fmtid="{D5CDD505-2E9C-101B-9397-08002B2CF9AE}" pid="35" name="TYPE_N_DATE">
    <vt:lpwstr>39020200902</vt:lpwstr>
  </property>
  <property fmtid="{D5CDD505-2E9C-101B-9397-08002B2CF9AE}" pid="36" name="VOLUME">
    <vt:lpwstr/>
  </property>
  <property fmtid="{D5CDD505-2E9C-101B-9397-08002B2CF9AE}" pid="37" name="WORDNUMPAGES">
    <vt:lpwstr>28</vt:lpwstr>
  </property>
</Properties>
</file>