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57474-07-15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בוקאעי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8"/>
          <w:szCs w:val="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בוקאעי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6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21/7/15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CZ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168401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הבעלים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6/10/08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הגרב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השמיכה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הנעליים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21/7/15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הנעליים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21/02/16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21/4/16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הקבוצה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מהמבוקש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עדי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אופי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גמלאי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והממושכת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הפליג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בשבחו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סוציאלית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תינוקת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ואמינותו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שתכניותיו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נגוזו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התדהמה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הבשורה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בודד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).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הבדואים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ומועמדי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הנוצרי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והבדואי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6-17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 xml:space="preserve">'- </w:t>
      </w:r>
      <w:r>
        <w:rPr>
          <w:rFonts w:cs="Calibri" w:ascii="Calibri" w:hAnsi="Calibri"/>
        </w:rPr>
        <w:t>09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start="720" w:end="0"/>
        <w:jc w:val="both"/>
        <w:rPr>
          <w:rFonts w:ascii="Calibri" w:hAnsi="Calibri" w:cs="Calibri"/>
          <w:sz w:val="30"/>
          <w:szCs w:val="30"/>
        </w:rPr>
      </w:pPr>
      <w:r>
        <w:rPr>
          <w:rFonts w:cs="Calibri" w:ascii="Calibri" w:hAnsi="Calibri"/>
          <w:sz w:val="30"/>
          <w:szCs w:val="3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שתצפת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והסוללה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התרוקנה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26/7/15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והצבעה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ואורך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מבירוקרטיה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הקבוצה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הטיפולית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מפגשים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4-5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b/>
          <w:b/>
          <w:bCs/>
          <w:u w:val="single"/>
          <w:rtl w:val="true"/>
        </w:rPr>
        <w:t>דברי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שנתפש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העדיפויות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מתבלבל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והעדפתי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120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sz w:val="2"/>
          <w:szCs w:val="2"/>
          <w:u w:val="single"/>
        </w:rPr>
      </w:pPr>
      <w:r>
        <w:rPr>
          <w:rFonts w:cs="Calibri" w:ascii="Calibri" w:hAnsi="Calibri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ascii="Arial" w:hAnsi="Arial" w:cs="Arial"/>
          <w:rtl w:val="true"/>
        </w:rPr>
        <w:t>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אף שקרנה ירדה לאחרונה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בקשר עם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תדירותן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הפחד שמעשים אלה נוטעים בלבו של אדם מן הישוב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כן מושפעת הענישה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עמדתם לגבי העבירות שבצעו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ראו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344/81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סגל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;</w:t>
      </w:r>
      <w:r>
        <w:rPr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);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>).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>". (</w:t>
      </w:r>
      <w:r>
        <w:rPr>
          <w:rFonts w:ascii="Arial" w:hAnsi="Arial" w:cs="Arial"/>
          <w:rtl w:val="true"/>
        </w:rPr>
        <w:t>ראו לעניין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1523/10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פלונית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י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18/4/12</w:t>
        </w:r>
        <w:r>
          <w:rPr>
            <w:rStyle w:val="Hyperlink"/>
            <w:rFonts w:cs="Arial" w:ascii="Arial" w:hAnsi="Arial"/>
            <w:rtl w:val="true"/>
          </w:rPr>
          <w:t xml:space="preserve">), </w:t>
        </w:r>
        <w:r>
          <w:rPr>
            <w:rStyle w:val="Hyperlink"/>
            <w:rFonts w:ascii="Arial" w:hAnsi="Arial" w:cs="Arial"/>
            <w:rtl w:val="true"/>
          </w:rPr>
          <w:t>וכן 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156/80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כוכבי בנימין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לה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חומרת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בעטיה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start="1440" w:end="0"/>
        <w:jc w:val="both"/>
        <w:rPr>
          <w:rFonts w:ascii="Calibri" w:hAnsi="Calibri" w:cs="Calibri"/>
          <w:spacing w:val="20"/>
        </w:rPr>
      </w:pPr>
      <w:r>
        <w:rPr>
          <w:rFonts w:cs="Miriam" w:ascii="Calibri" w:hAnsi="Calibri"/>
          <w:spacing w:val="10"/>
          <w:sz w:val="22"/>
          <w:szCs w:val="22"/>
          <w:rtl w:val="true"/>
        </w:rPr>
        <w:t>"</w:t>
      </w:r>
      <w:r>
        <w:rPr>
          <w:rFonts w:ascii="Calibri" w:hAnsi="Calibri" w:cs="Miriam"/>
          <w:spacing w:val="10"/>
          <w:rtl w:val="true"/>
        </w:rPr>
        <w:t>בית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משפט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זה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חזר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לא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אחת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הסכנה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הרבה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הטמונה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בעבירות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נשק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cs="Miriam" w:ascii="Calibri" w:hAnsi="Calibri"/>
          <w:spacing w:val="10"/>
          <w:rtl w:val="true"/>
        </w:rPr>
        <w:t>"</w:t>
      </w:r>
      <w:r>
        <w:rPr>
          <w:rFonts w:ascii="Arial TUR;Arial" w:hAnsi="Arial TUR;Arial" w:cs="Miriam"/>
          <w:spacing w:val="10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מקימות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להסלמה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ויוצרות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וחמור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לשלום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וביטחונו</w:t>
      </w:r>
      <w:r>
        <w:rPr>
          <w:rFonts w:cs="Miriam" w:ascii="Arial TUR;Arial" w:hAnsi="Arial TUR;Arial"/>
          <w:spacing w:val="10"/>
          <w:rtl w:val="true"/>
        </w:rPr>
        <w:t>" (</w:t>
      </w:r>
      <w:hyperlink r:id="rId13">
        <w:r>
          <w:rPr>
            <w:rStyle w:val="Hyperlink"/>
            <w:rFonts w:ascii="Arial TUR;Arial" w:hAnsi="Arial TUR;Arial" w:cs="Miriam"/>
            <w:spacing w:val="10"/>
            <w:rtl w:val="true"/>
          </w:rPr>
          <w:t>ע</w:t>
        </w:r>
        <w:r>
          <w:rPr>
            <w:rStyle w:val="Hyperlink"/>
            <w:rFonts w:cs="Miriam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Miriam"/>
            <w:spacing w:val="10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spacing w:val="10"/>
          </w:rPr>
          <w:t>3156/11</w:t>
        </w:r>
      </w:hyperlink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זראיעה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</w:t>
      </w:r>
      <w:r>
        <w:rPr>
          <w:rFonts w:cs="Miriam" w:ascii="Arial TUR;Arial" w:hAnsi="Arial TUR;Arial"/>
          <w:spacing w:val="10"/>
          <w:rtl w:val="true"/>
        </w:rPr>
        <w:t xml:space="preserve">'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cs="Miriam" w:ascii="Calibri" w:hAnsi="Calibri"/>
          <w:spacing w:val="20"/>
          <w:rtl w:val="true"/>
        </w:rPr>
        <w:t>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 </w:t>
      </w:r>
      <w:r>
        <w:rPr>
          <w:rFonts w:ascii="Calibri" w:hAnsi="Calibri" w:cs="Miriam"/>
          <w:spacing w:val="10"/>
          <w:rtl w:val="true"/>
        </w:rPr>
        <w:t>פסקה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cs="Miriam" w:ascii="Calibri" w:hAnsi="Calibri"/>
          <w:spacing w:val="10"/>
        </w:rPr>
        <w:t>5</w:t>
      </w:r>
      <w:r>
        <w:rPr>
          <w:rFonts w:cs="Miriam" w:ascii="Calibri" w:hAnsi="Calibri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21.02.2012</w:t>
      </w:r>
      <w:r>
        <w:rPr>
          <w:rFonts w:cs="Miriam" w:ascii="Arial TUR;Arial" w:hAnsi="Arial TUR;Arial"/>
          <w:spacing w:val="10"/>
          <w:rtl w:val="true"/>
        </w:rPr>
        <w:t xml:space="preserve">)). </w:t>
      </w:r>
      <w:r>
        <w:rPr>
          <w:rFonts w:ascii="Calibri" w:hAnsi="Calibri" w:cs="Miriam"/>
          <w:spacing w:val="10"/>
          <w:rtl w:val="true"/>
        </w:rPr>
        <w:t>בהתאם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מדיניות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הענישה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הנהוגה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בעבירות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היא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מדיניות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ענישה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מחמירה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המחייבת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בדרך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hyperlink r:id="rId14">
        <w:r>
          <w:rPr>
            <w:rStyle w:val="Hyperlink"/>
            <w:rFonts w:ascii="Calibri" w:hAnsi="Calibri" w:cs="Miriam"/>
            <w:spacing w:val="10"/>
            <w:rtl w:val="true"/>
          </w:rPr>
          <w:t>ע</w:t>
        </w:r>
        <w:r>
          <w:rPr>
            <w:rStyle w:val="Hyperlink"/>
            <w:rFonts w:cs="Miriam" w:ascii="Calibri" w:hAnsi="Calibri"/>
            <w:spacing w:val="10"/>
            <w:rtl w:val="true"/>
          </w:rPr>
          <w:t>"</w:t>
        </w:r>
        <w:r>
          <w:rPr>
            <w:rStyle w:val="Hyperlink"/>
            <w:rFonts w:ascii="Calibri" w:hAnsi="Calibri" w:cs="Miriam"/>
            <w:spacing w:val="10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10"/>
            <w:rtl w:val="true"/>
          </w:rPr>
          <w:t xml:space="preserve"> </w:t>
        </w:r>
        <w:r>
          <w:rPr>
            <w:rStyle w:val="Hyperlink"/>
            <w:rFonts w:cs="Miriam" w:ascii="Calibri" w:hAnsi="Calibri"/>
            <w:spacing w:val="10"/>
          </w:rPr>
          <w:t>2006/12</w:t>
        </w:r>
      </w:hyperlink>
      <w:r>
        <w:rPr>
          <w:rFonts w:cs="Miriam" w:ascii="Calibri" w:hAnsi="Calibri"/>
          <w:spacing w:val="1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אסדי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28.3.2012</w:t>
      </w:r>
      <w:r>
        <w:rPr>
          <w:rFonts w:cs="Miriam" w:ascii="Arial TUR;Arial" w:hAnsi="Arial TUR;Arial"/>
          <w:spacing w:val="10"/>
          <w:rtl w:val="true"/>
        </w:rPr>
        <w:t>), (</w:t>
      </w:r>
      <w:r>
        <w:rPr>
          <w:rFonts w:ascii="Arial TUR;Arial" w:hAnsi="Arial TUR;Arial" w:cs="Miriam"/>
          <w:spacing w:val="10"/>
          <w:rtl w:val="true"/>
        </w:rPr>
        <w:t>להלן</w:t>
      </w:r>
      <w:r>
        <w:rPr>
          <w:rFonts w:cs="Miriam" w:ascii="Arial TUR;Arial" w:hAnsi="Arial TUR;Arial"/>
          <w:spacing w:val="10"/>
          <w:rtl w:val="true"/>
        </w:rPr>
        <w:t xml:space="preserve">: </w:t>
      </w:r>
      <w:r>
        <w:rPr>
          <w:rFonts w:ascii="Arial TUR;Arial" w:hAnsi="Arial TUR;Arial" w:cs="Miriam"/>
          <w:spacing w:val="10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אסדי</w:t>
      </w:r>
      <w:r>
        <w:rPr>
          <w:rFonts w:cs="Miriam" w:ascii="Calibri" w:hAnsi="Calibri"/>
          <w:spacing w:val="10"/>
          <w:rtl w:val="true"/>
        </w:rPr>
        <w:t>)</w:t>
      </w:r>
      <w:r>
        <w:rPr>
          <w:rFonts w:cs="Miriam" w:ascii="Arial TUR;Arial" w:hAnsi="Arial TUR;Arial"/>
          <w:spacing w:val="10"/>
          <w:rtl w:val="true"/>
        </w:rPr>
        <w:t xml:space="preserve">; </w:t>
      </w:r>
      <w:hyperlink r:id="rId15">
        <w:r>
          <w:rPr>
            <w:rStyle w:val="Hyperlink"/>
            <w:rFonts w:ascii="Arial TUR;Arial" w:hAnsi="Arial TUR;Arial" w:cs="Miriam"/>
            <w:spacing w:val="10"/>
            <w:rtl w:val="true"/>
          </w:rPr>
          <w:t>ע</w:t>
        </w:r>
        <w:r>
          <w:rPr>
            <w:rStyle w:val="Hyperlink"/>
            <w:rFonts w:cs="Miriam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Miriam"/>
            <w:spacing w:val="10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spacing w:val="10"/>
          </w:rPr>
          <w:t>7502/12</w:t>
        </w:r>
      </w:hyperlink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כוויס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cs="Miriam" w:ascii="Calibri" w:hAnsi="Calibri"/>
          <w:spacing w:val="20"/>
          <w:rtl w:val="true"/>
        </w:rPr>
        <w:t>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 </w:t>
      </w:r>
      <w:r>
        <w:rPr>
          <w:rFonts w:ascii="Calibri" w:hAnsi="Calibri" w:cs="Miriam"/>
          <w:spacing w:val="10"/>
          <w:rtl w:val="true"/>
        </w:rPr>
        <w:t>פסקה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cs="Miriam" w:ascii="Calibri" w:hAnsi="Calibri"/>
          <w:spacing w:val="10"/>
        </w:rPr>
        <w:t>6</w:t>
      </w:r>
      <w:r>
        <w:rPr>
          <w:rFonts w:cs="Miriam" w:ascii="Calibri" w:hAnsi="Calibri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25.6.2013</w:t>
      </w:r>
      <w:r>
        <w:rPr>
          <w:rFonts w:cs="Miriam" w:ascii="Arial TUR;Arial" w:hAnsi="Arial TUR;Arial"/>
          <w:spacing w:val="10"/>
          <w:rtl w:val="true"/>
        </w:rPr>
        <w:t xml:space="preserve">))...". </w:t>
      </w:r>
      <w:r>
        <w:rPr>
          <w:rFonts w:cs="Calibri" w:ascii="Calibri" w:hAnsi="Calibri"/>
          <w:spacing w:val="20"/>
          <w:rtl w:val="true"/>
        </w:rPr>
        <w:t>(</w:t>
      </w:r>
      <w:hyperlink r:id="rId16">
        <w:r>
          <w:rPr>
            <w:rStyle w:val="Hyperlink"/>
            <w:rFonts w:ascii="Calibri" w:hAnsi="Calibri" w:cs="Calibri"/>
            <w:spacing w:val="20"/>
            <w:rtl w:val="true"/>
          </w:rPr>
          <w:t>ע</w:t>
        </w:r>
        <w:r>
          <w:rPr>
            <w:rStyle w:val="Hyperlink"/>
            <w:rFonts w:cs="Calibri" w:ascii="Calibri" w:hAnsi="Calibri"/>
            <w:spacing w:val="20"/>
            <w:rtl w:val="true"/>
          </w:rPr>
          <w:t>"</w:t>
        </w:r>
        <w:r>
          <w:rPr>
            <w:rStyle w:val="Hyperlink"/>
            <w:rFonts w:ascii="Calibri" w:hAnsi="Calibri" w:cs="Calibri"/>
            <w:spacing w:val="20"/>
            <w:rtl w:val="true"/>
          </w:rPr>
          <w:t>פ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6989/13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חנא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פרח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25/2/14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זילברטל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Miriam"/>
          <w:spacing w:val="20"/>
        </w:rPr>
      </w:pPr>
      <w:r>
        <w:rPr>
          <w:rFonts w:ascii="Calibri" w:hAnsi="Calibri" w:cs="Calibri"/>
          <w:spacing w:val="20"/>
          <w:rtl w:val="true"/>
        </w:rPr>
        <w:t>וכ</w:t>
      </w:r>
      <w:r>
        <w:rPr>
          <w:rFonts w:ascii="Calibri" w:hAnsi="Calibri" w:cs="Calibri"/>
          <w:spacing w:val="20"/>
          <w:rtl w:val="true"/>
        </w:rPr>
        <w:t>ן</w:t>
      </w:r>
      <w:r>
        <w:rPr>
          <w:rFonts w:cs="Calibri" w:ascii="Calibri" w:hAnsi="Calibri"/>
          <w:spacing w:val="20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חומרתה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עבירת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החזקת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מקורה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בכך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שעבירה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אינה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נעשית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לרוב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כדי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לאפשר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ביצוען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עבירות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אחרות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שמעצם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טבעו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הנשק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כרוכות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בהפחדה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כשעסקינן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במי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שהעולם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הפלילי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 xml:space="preserve">- </w:t>
      </w:r>
      <w:r>
        <w:rPr>
          <w:rFonts w:ascii="Calibri" w:hAnsi="Calibri" w:cs="Miriam"/>
          <w:spacing w:val="20"/>
          <w:rtl w:val="true"/>
        </w:rPr>
        <w:t>כמו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המעורבים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בערעור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שלפנינו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 xml:space="preserve">- </w:t>
      </w:r>
      <w:r>
        <w:rPr>
          <w:rFonts w:ascii="Calibri" w:hAnsi="Calibri" w:cs="Miriam"/>
          <w:spacing w:val="20"/>
          <w:rtl w:val="true"/>
        </w:rPr>
        <w:t>ובנשק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משתיק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קול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המוחבא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במקום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בלתי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טבעי</w:t>
      </w:r>
      <w:r>
        <w:rPr>
          <w:rFonts w:cs="Miriam" w:ascii="Calibri" w:hAnsi="Calibri"/>
          <w:spacing w:val="20"/>
          <w:rtl w:val="true"/>
        </w:rPr>
        <w:t xml:space="preserve">", </w:t>
      </w:r>
      <w:r>
        <w:rPr>
          <w:rFonts w:ascii="Calibri" w:hAnsi="Calibri" w:cs="Miriam"/>
          <w:spacing w:val="20"/>
          <w:rtl w:val="true"/>
        </w:rPr>
        <w:t>מקבלים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הדברים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תוקף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כפי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שציינה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חברתי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הנשיאה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ד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ביניש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המציאות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השוררת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בארץ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המתבטאת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בזמינותו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ורב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עוצמה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עמו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פוטנציאל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להסלמת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העבריינית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מחייבת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מתן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ביטוי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הולם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והחמרה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ברמת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הענישה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ראו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</w:t>
      </w:r>
      <w:r>
        <w:rPr>
          <w:rFonts w:cs="Miriam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פ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</w:rPr>
        <w:t>1332/04</w:t>
      </w:r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פס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סעיף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</w:rPr>
        <w:t>4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cs="Miriam" w:ascii="Calibri" w:hAnsi="Calibri"/>
          <w:spacing w:val="20"/>
        </w:rPr>
        <w:t>19.4.04</w:t>
      </w:r>
      <w:r>
        <w:rPr>
          <w:rFonts w:cs="Miriam" w:ascii="Calibri" w:hAnsi="Calibri"/>
          <w:spacing w:val="20"/>
          <w:rtl w:val="true"/>
        </w:rPr>
        <w:t xml:space="preserve">)). </w:t>
      </w:r>
      <w:r>
        <w:rPr>
          <w:rFonts w:ascii="Calibri" w:hAnsi="Calibri" w:cs="Miriam"/>
          <w:spacing w:val="20"/>
          <w:rtl w:val="true"/>
        </w:rPr>
        <w:t>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לעשות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עוד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בטרם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ייעשה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באקדח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שימוש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קטלני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באמצעות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הרחקת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המחזיק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החברה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לפרק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זמן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והעברת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מסר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מרתיע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באמצעות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מאסר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ממשי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לריצוי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בפועל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ראו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hyperlink r:id="rId17">
        <w:r>
          <w:rPr>
            <w:rStyle w:val="Hyperlink"/>
            <w:rFonts w:ascii="Calibri" w:hAnsi="Calibri" w:cs="Miriam"/>
            <w:spacing w:val="20"/>
            <w:rtl w:val="true"/>
          </w:rPr>
          <w:t>ע</w:t>
        </w:r>
        <w:r>
          <w:rPr>
            <w:rStyle w:val="Hyperlink"/>
            <w:rFonts w:cs="Miriam" w:ascii="Calibri" w:hAnsi="Calibri"/>
            <w:spacing w:val="20"/>
            <w:rtl w:val="true"/>
          </w:rPr>
          <w:t>"</w:t>
        </w:r>
        <w:r>
          <w:rPr>
            <w:rStyle w:val="Hyperlink"/>
            <w:rFonts w:ascii="Calibri" w:hAnsi="Calibri" w:cs="Miriam"/>
            <w:spacing w:val="20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20"/>
            <w:rtl w:val="true"/>
          </w:rPr>
          <w:t xml:space="preserve"> </w:t>
        </w:r>
        <w:r>
          <w:rPr>
            <w:rStyle w:val="Hyperlink"/>
            <w:rFonts w:cs="Miriam" w:ascii="Calibri" w:hAnsi="Calibri"/>
            <w:spacing w:val="20"/>
          </w:rPr>
          <w:t>3361/08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ליבוביץ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</w:rPr>
        <w:t>27.7.08</w:t>
      </w:r>
      <w:r>
        <w:rPr>
          <w:rFonts w:cs="Miriam" w:ascii="Calibri" w:hAnsi="Calibri"/>
          <w:spacing w:val="20"/>
          <w:rtl w:val="true"/>
        </w:rPr>
        <w:t>) (</w:t>
      </w:r>
      <w:r>
        <w:rPr>
          <w:rFonts w:ascii="Calibri" w:hAnsi="Calibri" w:cs="Miriam"/>
          <w:spacing w:val="20"/>
          <w:rtl w:val="true"/>
        </w:rPr>
        <w:t>להלן</w:t>
      </w:r>
      <w:r>
        <w:rPr>
          <w:rFonts w:cs="Miriam" w:ascii="Calibri" w:hAnsi="Calibri"/>
          <w:spacing w:val="20"/>
          <w:rtl w:val="true"/>
        </w:rPr>
        <w:t xml:space="preserve">: </w:t>
      </w:r>
      <w:r>
        <w:rPr>
          <w:rFonts w:ascii="Calibri" w:hAnsi="Calibri" w:cs="Miriam"/>
          <w:spacing w:val="20"/>
          <w:rtl w:val="true"/>
        </w:rPr>
        <w:t>עניין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ליבוביץ</w:t>
      </w:r>
      <w:r>
        <w:rPr>
          <w:rFonts w:cs="Miriam" w:ascii="Calibri" w:hAnsi="Calibri"/>
          <w:spacing w:val="20"/>
          <w:rtl w:val="true"/>
        </w:rPr>
        <w:t xml:space="preserve">'); </w:t>
      </w:r>
      <w:hyperlink r:id="rId18">
        <w:r>
          <w:rPr>
            <w:rStyle w:val="Hyperlink"/>
            <w:rFonts w:ascii="Calibri" w:hAnsi="Calibri" w:cs="Miriam"/>
            <w:spacing w:val="20"/>
            <w:rtl w:val="true"/>
          </w:rPr>
          <w:t>ע</w:t>
        </w:r>
        <w:r>
          <w:rPr>
            <w:rStyle w:val="Hyperlink"/>
            <w:rFonts w:cs="Miriam" w:ascii="Calibri" w:hAnsi="Calibri"/>
            <w:spacing w:val="20"/>
            <w:rtl w:val="true"/>
          </w:rPr>
          <w:t>"</w:t>
        </w:r>
        <w:r>
          <w:rPr>
            <w:rStyle w:val="Hyperlink"/>
            <w:rFonts w:ascii="Calibri" w:hAnsi="Calibri" w:cs="Miriam"/>
            <w:spacing w:val="20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20"/>
            <w:rtl w:val="true"/>
          </w:rPr>
          <w:t xml:space="preserve"> </w:t>
        </w:r>
        <w:r>
          <w:rPr>
            <w:rStyle w:val="Hyperlink"/>
            <w:rFonts w:cs="Miriam" w:ascii="Calibri" w:hAnsi="Calibri"/>
            <w:spacing w:val="20"/>
          </w:rPr>
          <w:t>5220/09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עוואודה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cs="Miriam" w:ascii="Calibri" w:hAnsi="Calibri"/>
          <w:spacing w:val="20"/>
        </w:rPr>
        <w:t>30.12.09</w:t>
      </w:r>
      <w:r>
        <w:rPr>
          <w:rFonts w:cs="Calibri" w:ascii="Calibri" w:hAnsi="Calibri"/>
          <w:spacing w:val="20"/>
          <w:rtl w:val="true"/>
        </w:rPr>
        <w:t>))". (</w:t>
      </w:r>
      <w:hyperlink r:id="rId19">
        <w:r>
          <w:rPr>
            <w:rStyle w:val="Hyperlink"/>
            <w:rFonts w:ascii="Calibri" w:hAnsi="Calibri" w:cs="Calibri"/>
            <w:spacing w:val="20"/>
            <w:rtl w:val="true"/>
          </w:rPr>
          <w:t>ע</w:t>
        </w:r>
        <w:r>
          <w:rPr>
            <w:rStyle w:val="Hyperlink"/>
            <w:rFonts w:cs="Calibri" w:ascii="Calibri" w:hAnsi="Calibri"/>
            <w:spacing w:val="20"/>
            <w:rtl w:val="true"/>
          </w:rPr>
          <w:t>"</w:t>
        </w:r>
        <w:r>
          <w:rPr>
            <w:rStyle w:val="Hyperlink"/>
            <w:rFonts w:ascii="Calibri" w:hAnsi="Calibri" w:cs="Calibri"/>
            <w:spacing w:val="20"/>
            <w:rtl w:val="true"/>
          </w:rPr>
          <w:t>פ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8416/09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חרבוש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ואח</w:t>
      </w:r>
      <w:r>
        <w:rPr>
          <w:rFonts w:cs="Calibri" w:ascii="Calibri" w:hAnsi="Calibri"/>
          <w:b/>
          <w:bCs/>
          <w:spacing w:val="20"/>
          <w:rtl w:val="true"/>
        </w:rPr>
        <w:t>'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/>
        <w:t>9/6/10</w:t>
      </w:r>
      <w:r>
        <w:rPr>
          <w:rtl w:val="true"/>
        </w:rPr>
        <w:t>),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1/1/07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מרזל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rtl w:val="true"/>
        </w:rPr>
        <w:t>מתאני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16/11/05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9543/93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19/1/10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pacing w:val="20"/>
          <w:sz w:val="2"/>
          <w:szCs w:val="2"/>
          <w:u w:val="single"/>
        </w:rPr>
      </w:pPr>
      <w:r>
        <w:rPr>
          <w:rFonts w:cs="Arial" w:ascii="Calibri" w:hAnsi="Calibri"/>
          <w:spacing w:val="20"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ג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Arial" w:ascii="Calibri" w:hAnsi="Calibri"/>
          <w:spacing w:val="20"/>
          <w:sz w:val="22"/>
          <w:szCs w:val="22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 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21/2/12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 xml:space="preserve">; </w:t>
      </w:r>
      <w:hyperlink r:id="rId2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5/1/10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</w:t>
      </w:r>
      <w:hyperlink r:id="rId2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 xml:space="preserve">; </w:t>
      </w:r>
      <w:hyperlink r:id="rId29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19/2/13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כהן</w:t>
      </w:r>
      <w:r>
        <w:rPr>
          <w:rFonts w:cs="Calibri" w:ascii="Calibri" w:hAnsi="Calibri"/>
          <w:rtl w:val="true"/>
        </w:rPr>
        <w:t xml:space="preserve">; </w:t>
      </w:r>
      <w:hyperlink r:id="rId30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11904-09-10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מרזוק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19/5/11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הורוביץ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29671-12-13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10/6/14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כתילי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ש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28360-02-13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רחמן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1/12/13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זלוצ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</w:t>
      </w:r>
      <w:r>
        <w:rPr>
          <w:rFonts w:cs="David" w:ascii="David" w:hAnsi="David"/>
          <w:rtl w:val="true"/>
        </w:rPr>
        <w:t xml:space="preserve">; </w:t>
      </w:r>
      <w:hyperlink r:id="rId33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5000/12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24/6/13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סעב</w:t>
      </w:r>
      <w:r>
        <w:rPr>
          <w:rFonts w:cs="David" w:ascii="David" w:hAnsi="David"/>
          <w:rtl w:val="true"/>
        </w:rPr>
        <w:t xml:space="preserve">; </w:t>
      </w:r>
      <w:hyperlink r:id="rId34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12181-10-09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חי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סליבא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14/4/10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אילן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שיף</w:t>
      </w:r>
      <w:r>
        <w:rPr>
          <w:rFonts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12995-03-09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5/1/10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הורוביץ</w:t>
      </w:r>
      <w:r>
        <w:rPr>
          <w:rFonts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7112/08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עזאיזה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12/1/09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רניאל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5/6/13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254" w:before="0" w:after="160"/>
        <w:ind w:firstLine="720" w:end="0"/>
        <w:jc w:val="start"/>
        <w:rPr>
          <w:rFonts w:ascii="Calibri" w:hAnsi="Calibri" w:cs="Arial"/>
          <w:b/>
          <w:bCs/>
          <w:spacing w:val="20"/>
          <w:sz w:val="2"/>
          <w:szCs w:val="2"/>
        </w:rPr>
      </w:pPr>
      <w:r>
        <w:rPr>
          <w:rFonts w:cs="Arial" w:ascii="Calibri" w:hAnsi="Calibri"/>
          <w:b/>
          <w:bCs/>
          <w:spacing w:val="20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מאמציו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cs="David" w:ascii="David" w:hAnsi="David"/>
          <w:rtl w:val="true"/>
        </w:rPr>
        <w:t>. (</w:t>
      </w:r>
      <w:hyperlink r:id="rId3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10444/06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4980/01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  <w:lang w:eastAsia="he-IL"/>
        </w:rPr>
        <w:t>א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לקולא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רואה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לקחת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בחשבון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הודייתו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המיידית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במעשיו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 xml:space="preserve">הן </w:t>
      </w:r>
      <w:r>
        <w:rPr>
          <w:rFonts w:ascii="Calibri" w:hAnsi="Calibri" w:cs="Calibri"/>
          <w:rtl w:val="true"/>
          <w:lang w:eastAsia="he-IL"/>
        </w:rPr>
        <w:t>במשטרה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 xml:space="preserve">תוך תיאור האופן בו הגיע הנשק לידיו וכוונתו להעבירו למשטרה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 xml:space="preserve">הן </w:t>
      </w:r>
      <w:r>
        <w:rPr>
          <w:rFonts w:ascii="Calibri" w:hAnsi="Calibri" w:cs="Calibri"/>
          <w:rtl w:val="true"/>
          <w:lang w:eastAsia="he-IL"/>
        </w:rPr>
        <w:t>בתשובתו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לכתב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האישום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</w:t>
      </w:r>
      <w:r>
        <w:rPr>
          <w:rFonts w:ascii="Calibri" w:hAnsi="Calibri" w:cs="Calibri"/>
          <w:rtl w:val="true"/>
          <w:lang w:eastAsia="he-IL"/>
        </w:rPr>
        <w:t xml:space="preserve">הן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הטיעון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כתב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המתוקן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האחריות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שנטל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והחרטה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שהביע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בגינם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, </w:t>
      </w:r>
      <w:r>
        <w:rPr>
          <w:rtl w:val="true"/>
        </w:rPr>
        <w:t>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",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משמרת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.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ושילב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21/7/15</w:t>
      </w:r>
      <w:r>
        <w:rPr>
          <w:rtl w:val="true"/>
        </w:rPr>
        <w:t xml:space="preserve"> – </w:t>
      </w:r>
      <w:r>
        <w:rPr/>
        <w:t>30/8/15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11/5/16</w:t>
      </w:r>
      <w:r>
        <w:rPr>
          <w:rtl w:val="true"/>
        </w:rPr>
        <w:t xml:space="preserve">, </w:t>
      </w:r>
      <w:r>
        <w:rPr>
          <w:rtl w:val="true"/>
        </w:rPr>
        <w:t>תעודכן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שישלחו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לחתימה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57474-07-15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בוקאעי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11">
    <w:name w:val="ללא מרווח1"/>
    <w:next w:val="No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7939098" TargetMode="External"/><Relationship Id="rId10" Type="http://schemas.openxmlformats.org/officeDocument/2006/relationships/hyperlink" Target="http://www.nevo.co.il/case/5982047" TargetMode="External"/><Relationship Id="rId11" Type="http://schemas.openxmlformats.org/officeDocument/2006/relationships/hyperlink" Target="http://www.nevo.co.il/case/5815848" TargetMode="External"/><Relationship Id="rId12" Type="http://schemas.openxmlformats.org/officeDocument/2006/relationships/hyperlink" Target="http://www.nevo.co.il/case/6243627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5578534" TargetMode="External"/><Relationship Id="rId15" Type="http://schemas.openxmlformats.org/officeDocument/2006/relationships/hyperlink" Target="http://www.nevo.co.il/case/5601503" TargetMode="External"/><Relationship Id="rId16" Type="http://schemas.openxmlformats.org/officeDocument/2006/relationships/hyperlink" Target="http://www.nevo.co.il/case/8291683" TargetMode="External"/><Relationship Id="rId17" Type="http://schemas.openxmlformats.org/officeDocument/2006/relationships/hyperlink" Target="http://www.nevo.co.il/case/5891605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5969313" TargetMode="External"/><Relationship Id="rId20" Type="http://schemas.openxmlformats.org/officeDocument/2006/relationships/hyperlink" Target="http://www.nevo.co.il/case/6078308" TargetMode="External"/><Relationship Id="rId21" Type="http://schemas.openxmlformats.org/officeDocument/2006/relationships/hyperlink" Target="http://www.nevo.co.il/case/6104546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case/5866366" TargetMode="External"/><Relationship Id="rId24" Type="http://schemas.openxmlformats.org/officeDocument/2006/relationships/hyperlink" Target="http://www.nevo.co.il/case/6118595" TargetMode="External"/><Relationship Id="rId25" Type="http://schemas.openxmlformats.org/officeDocument/2006/relationships/hyperlink" Target="http://www.nevo.co.il/case/5764932" TargetMode="External"/><Relationship Id="rId26" Type="http://schemas.openxmlformats.org/officeDocument/2006/relationships/hyperlink" Target="http://www.nevo.co.il/case/5878682" TargetMode="External"/><Relationship Id="rId27" Type="http://schemas.openxmlformats.org/officeDocument/2006/relationships/hyperlink" Target="http://www.nevo.co.il/case/6151556" TargetMode="External"/><Relationship Id="rId28" Type="http://schemas.openxmlformats.org/officeDocument/2006/relationships/hyperlink" Target="http://www.nevo.co.il/case/5724364" TargetMode="External"/><Relationship Id="rId29" Type="http://schemas.openxmlformats.org/officeDocument/2006/relationships/hyperlink" Target="http://www.nevo.co.il/case/4552738" TargetMode="External"/><Relationship Id="rId30" Type="http://schemas.openxmlformats.org/officeDocument/2006/relationships/hyperlink" Target="http://www.nevo.co.il/case/5810378" TargetMode="External"/><Relationship Id="rId31" Type="http://schemas.openxmlformats.org/officeDocument/2006/relationships/hyperlink" Target="http://www.nevo.co.il/case/10524213" TargetMode="External"/><Relationship Id="rId32" Type="http://schemas.openxmlformats.org/officeDocument/2006/relationships/hyperlink" Target="http://www.nevo.co.il/case/6276336" TargetMode="External"/><Relationship Id="rId33" Type="http://schemas.openxmlformats.org/officeDocument/2006/relationships/hyperlink" Target="http://www.nevo.co.il/case/4284999" TargetMode="External"/><Relationship Id="rId34" Type="http://schemas.openxmlformats.org/officeDocument/2006/relationships/hyperlink" Target="http://www.nevo.co.il/case/4379825" TargetMode="External"/><Relationship Id="rId35" Type="http://schemas.openxmlformats.org/officeDocument/2006/relationships/hyperlink" Target="http://www.nevo.co.il/case/4717919" TargetMode="External"/><Relationship Id="rId36" Type="http://schemas.openxmlformats.org/officeDocument/2006/relationships/hyperlink" Target="http://www.nevo.co.il/case/2270806" TargetMode="External"/><Relationship Id="rId37" Type="http://schemas.openxmlformats.org/officeDocument/2006/relationships/hyperlink" Target="http://www.nevo.co.il/case/6473037" TargetMode="External"/><Relationship Id="rId38" Type="http://schemas.openxmlformats.org/officeDocument/2006/relationships/hyperlink" Target="http://www.nevo.co.il/case/6170256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2017-01-10T13:55:00Z</dcterms:created>
  <dc:creator> </dc:creator>
  <dc:description/>
  <cp:keywords/>
  <dc:language>en-IL</dc:language>
  <cp:lastModifiedBy>Tali-a</cp:lastModifiedBy>
  <dcterms:modified xsi:type="dcterms:W3CDTF">2017-01-10T13:55:00Z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בוקאעי</vt:lpwstr>
  </property>
  <property fmtid="{D5CDD505-2E9C-101B-9397-08002B2CF9AE}" pid="4" name="CASESLISTTMP1">
    <vt:lpwstr>17939098;5982047;5815848;6243627;5878682:2;5578534;5601503;8291683;5891605;6000182;5969313;6078308;6104546;5724364:2;5866366;6118595;5764932;6151556;4552738;5810378;10524213;6276336;4284999;4379825;4717919;2270806;6473037;6170256</vt:lpwstr>
  </property>
  <property fmtid="{D5CDD505-2E9C-101B-9397-08002B2CF9AE}" pid="5" name="CITY">
    <vt:lpwstr>חי'</vt:lpwstr>
  </property>
  <property fmtid="{D5CDD505-2E9C-101B-9397-08002B2CF9AE}" pid="6" name="DATE">
    <vt:lpwstr>20160519</vt:lpwstr>
  </property>
  <property fmtid="{D5CDD505-2E9C-101B-9397-08002B2CF9AE}" pid="7" name="ISABSTRACT">
    <vt:lpwstr>Y</vt:lpwstr>
  </property>
  <property fmtid="{D5CDD505-2E9C-101B-9397-08002B2CF9AE}" pid="8" name="JUDGE">
    <vt:lpwstr>דיאנה סלע</vt:lpwstr>
  </property>
  <property fmtid="{D5CDD505-2E9C-101B-9397-08002B2CF9AE}" pid="9" name="LAWLISTTMP1">
    <vt:lpwstr>70301/144.b:2;40ja</vt:lpwstr>
  </property>
  <property fmtid="{D5CDD505-2E9C-101B-9397-08002B2CF9AE}" pid="10" name="NEWPARTA">
    <vt:lpwstr>57474</vt:lpwstr>
  </property>
  <property fmtid="{D5CDD505-2E9C-101B-9397-08002B2CF9AE}" pid="11" name="NEWPARTB">
    <vt:lpwstr>07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390020160519</vt:lpwstr>
  </property>
  <property fmtid="{D5CDD505-2E9C-101B-9397-08002B2CF9AE}" pid="17" name="TYPE_N_DATE">
    <vt:lpwstr>39020160519</vt:lpwstr>
  </property>
  <property fmtid="{D5CDD505-2E9C-101B-9397-08002B2CF9AE}" pid="18" name="WORDNUMPAGES">
    <vt:lpwstr>10</vt:lpwstr>
  </property>
</Properties>
</file>