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57618-05-17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פירס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בדואן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448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bookmarkStart w:id="7" w:name="ABSTRACT_START"/>
      <w:bookmarkEnd w:id="7"/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הורשע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הודאתו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בעובדות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מתוקן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במסגרת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הסדר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טיעון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448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רישא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התשל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cs="Calibri" w:ascii="Calibri" w:hAnsi="Calibri"/>
          <w:sz w:val="22"/>
          <w:lang w:val="en-US" w:eastAsia="en-US"/>
        </w:rPr>
        <w:t>1977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");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נשיאה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והובלה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רישא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כתב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עבדאללה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אדם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המתגורר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נקובא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בסכסוך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ברהום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המתגוררים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רפא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למחצית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יצית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מוסטפא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רומאן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רפא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נישואין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וקרבה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למשפחת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ברהום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מתלונן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lang w:val="en-US" w:eastAsia="en-US"/>
        </w:rPr>
        <w:t>1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בנזין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בוקר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בליל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בדואן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במרחק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כקילומטר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מפאדי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והתקדם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הרכב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תכולת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הבקבוק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הקדמי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והדליק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הבנזין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כתוצאה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נשרף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הקדמי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ולפאדי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בדואן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למתואר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25.2.2017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בפתח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השייכת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ברהום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ברהום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המתלונן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lang w:val="en-US" w:eastAsia="en-US"/>
        </w:rPr>
        <w:t>2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במטרה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להרוס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למספרה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לידיו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מצינור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מתכתי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המכיל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עיקרי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ואמצעי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רסס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קליעים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ומסמרים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מטרתם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להגביר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אפקט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התפוצצותו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והובילו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תכולתו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החליט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25.2.2017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טוען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בפניו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להפעלה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ליטול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26.2.2017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23:00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התפוצץ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בפתח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המספרה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השייכת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יוכל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הסנגור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לניצול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ascii="David" w:hAnsi="David"/>
          <w:rtl w:val="true"/>
          <w:lang w:val="en-US" w:eastAsia="en-US"/>
        </w:rPr>
        <w:t>השפעה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ומשפחתו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9.11.2017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סוריה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הבכור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התגורר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נקובא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לממכר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לשיתוף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לפנימייה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נגמל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בדיקות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שנערכו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נמצאו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מתפקד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כראוי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האגף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התמכרויות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סחטו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התגורר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גיבוש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המלצה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צוינו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הקודמת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התנהלותו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קשייו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בוויסות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תגובותיו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אימפולסיבי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צוינו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השפעת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ויכולת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ומחויבותו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התעסוקתי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ותוצאותיה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הצפויות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שתתרחש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צפויות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המלצת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שיחדד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מטעם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מטעם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מעובדת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סוציאלית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במועצה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האזורית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יהודה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מצטברים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לגבי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המוגן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השמירה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הזולת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בתחושת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מבחינת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הנכס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מציתים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הנוהגת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907/14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דניאל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רחמים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18.11.2014</w:t>
      </w:r>
      <w:r>
        <w:rPr>
          <w:rFonts w:cs="David" w:ascii="David" w:hAnsi="David"/>
          <w:rtl w:val="true"/>
          <w:lang w:val="en-US" w:eastAsia="en-US"/>
        </w:rPr>
        <w:t xml:space="preserve">) ,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למצית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1846/13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2190/13</w:t>
      </w:r>
      <w:r>
        <w:rPr>
          <w:rFonts w:cs="David" w:ascii="David" w:hAnsi="David"/>
          <w:rtl w:val="true"/>
          <w:lang w:val="en-US" w:eastAsia="en-US"/>
        </w:rPr>
        <w:t xml:space="preserve"> , </w:t>
      </w:r>
      <w:r>
        <w:rPr>
          <w:rFonts w:ascii="David" w:hAnsi="David"/>
          <w:u w:val="single"/>
          <w:rtl w:val="true"/>
          <w:lang w:val="en-US" w:eastAsia="en-US"/>
        </w:rPr>
        <w:t>ג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ascii="David" w:hAnsi="David"/>
          <w:u w:val="single"/>
          <w:rtl w:val="true"/>
          <w:lang w:val="en-US" w:eastAsia="en-US"/>
        </w:rPr>
        <w:t>מאל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עמאש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ואח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1.12.2013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7887/12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מאיר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שאול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24.4.2013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חמורות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ישנם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תכנון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מראש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הצטיידות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בבקבוק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בנזין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בצוותא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גרימת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ופוטנציאל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לגבי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הנובעת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הטמון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ומהסכנה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לאמצעי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השונים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הניתנים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לנשיאה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בראש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הרשימה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פרקליט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למטרתו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במספרה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המסוכנות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לקולה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להחלטתו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להחזיר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לשולחו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השרשרת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העבריינית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ובסופו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התפוצץ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בפתח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המספרה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ובמיוחד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נוכח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פוטנציאל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3491/13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לירון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טוויק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15.11.2013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ביחס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לקביעת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העונש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המתאים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שמבחינתו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ולשיתוף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המשטרה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התחתון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יזם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ששלח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בשמו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נולד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בעקבות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חשיפתו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חקירתו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חשף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ששלח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לשרוף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מסוכסך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לרכב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פעוט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תמורת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בלבד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שנוצל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שולחו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שולחו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יניח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ויביא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לפיצוץ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בחקירתו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במשטרה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התחרט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במתכוון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והחזירו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לשולחו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בטענה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לכסות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חיבל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למעשה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לביתו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והחזרתו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ובכך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לעודד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שהחלו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שולחו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ניצל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העובדה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שמשפחתו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מתגוררת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אצלו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וחייבת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ניצול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במתחמי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נפרדים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לגזרי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4311/12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</w:t>
      </w:r>
      <w:r>
        <w:rPr>
          <w:rFonts w:cs="David" w:ascii="David" w:hAnsi="David"/>
          <w:u w:val="single"/>
          <w:rtl w:val="true"/>
          <w:lang w:val="en-US" w:eastAsia="en-US"/>
        </w:rPr>
        <w:t>.</w:t>
      </w:r>
      <w:r>
        <w:rPr>
          <w:rFonts w:ascii="David" w:hAnsi="David"/>
          <w:u w:val="single"/>
          <w:rtl w:val="true"/>
          <w:lang w:val="en-US" w:eastAsia="en-US"/>
        </w:rPr>
        <w:t>ס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.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8.11.2012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הועמד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המערער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ושיקום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63147-12-16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חמזה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גועבה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ואח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קטנוע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8312/09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ליאור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פטורי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ואח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19.12.2010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22-06-14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סבאח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17.6.2014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אנטנה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04-06-15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מדינת ישראל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שחיטה 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1.6.2015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1578-04-13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נאצר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סרחאן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עווידה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19.12.2013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3068-11-15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ג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ascii="David" w:hAnsi="David"/>
          <w:u w:val="single"/>
          <w:rtl w:val="true"/>
          <w:lang w:val="en-US" w:eastAsia="en-US"/>
        </w:rPr>
        <w:t>רבאן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30.6.2016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לנסיבותיו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ולנסיבותיו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המשפחתיות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ומהמסמך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אגף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הרווחה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93</w:t>
      </w:r>
      <w:r>
        <w:rPr>
          <w:rFonts w:cs="David" w:ascii="David" w:hAnsi="David"/>
          <w:rtl w:val="true"/>
          <w:lang w:val="en-US" w:eastAsia="en-US"/>
        </w:rPr>
        <w:t xml:space="preserve">', </w:t>
      </w:r>
      <w:r>
        <w:rPr>
          <w:rFonts w:ascii="David" w:hAnsi="David"/>
          <w:rtl w:val="true"/>
          <w:lang w:val="en-US" w:eastAsia="en-US"/>
        </w:rPr>
        <w:t>יליד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סוריה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בהיותו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תינוק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נאלצה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להימלט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מסוריה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ניסתה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להסתגל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הצלחה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יתרה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בלשון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המעטה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נקובה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וחיה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מנעו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להתרווח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בשכירות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נשכרה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ממשפחתו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השפעה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ואילץ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זרועו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הארוכה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ולבצע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קורבן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משנה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במיוחס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שקודם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במשטרה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והפליל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שולחו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וחסך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שיפוטי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יקר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8.5.2017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אביו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בפרנסת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מאסרו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ישפיע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לסיכום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יעלה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המצב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לאפס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אביו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בפרנסת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וכרגע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אחיו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להשתחרר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ולעזור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למשפחתו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מקבלים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תעודה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יכולים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שמחדשים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ההולם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lang w:val="en-US" w:eastAsia="en-US"/>
        </w:rPr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בהתאם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לתיקון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113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העקרון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המנחה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עקרון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ההלימה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קיומו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יחס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בנסיבותיו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ובין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סוג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המוטל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עליו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(</w:t>
      </w:r>
      <w:hyperlink r:id="rId2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ב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).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עקרון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ההלימה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משמעו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לעקרון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הגמול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הנסיבות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מהוות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שיקול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בקביעת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קביעת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נעשית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החברתי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שנפגע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מביצוע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הפגיעה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במדיניות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הנהוגה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ובנסיבות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הקשורות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בביצוע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ג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בענייננו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מדובר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נפרדות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מתקופות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שונות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אמנם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מעשיו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בוצעו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בשליחותו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רקע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אולם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מדובר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באירועים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נפרדים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ולפיכך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לקבוע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הולם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מהאישומים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בנפרד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9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בראש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ובראשונה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להתייחס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המחוקק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נשיאה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והובלה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המחוקק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המחוקק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כאמור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במדיניות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הנהוגה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המאשימה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הפנתה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כאמור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לשלושה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פסקי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בפסיקה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שנתיים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הפנתה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המאשימה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לפסק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נגזר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המערער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30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תנאי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וקנס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מנהיגה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סביב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בעבודות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- </w:t>
      </w:r>
      <w:r>
        <w:rPr>
          <w:rFonts w:cs="Calibri" w:ascii="Calibri" w:hAnsi="Calibri"/>
          <w:sz w:val="22"/>
          <w:lang w:val="en-US" w:eastAsia="en-US"/>
        </w:rPr>
        <w:t>30-10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לנשיאת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נשק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לעניין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החברתי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שנפגע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-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נשיאת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הינן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הפסיקה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התייחסה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אליהן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בחומרה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פוגעת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בזכות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הקניין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ובביטחון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האזרחים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נשיאת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נפץ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פוגעת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בבטחון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הציבור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בביטחון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וראו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לעניין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המשפט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3210/06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>פארס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>עמארה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sz w:val="22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cs="Calibri" w:ascii="Calibri" w:hAnsi="Calibri"/>
          <w:sz w:val="22"/>
          <w:lang w:val="en-US" w:eastAsia="en-US"/>
        </w:rPr>
        <w:t>18.3.2007</w:t>
      </w:r>
      <w:r>
        <w:rPr>
          <w:rFonts w:cs="Calibri" w:ascii="Calibri" w:hAnsi="Calibri"/>
          <w:sz w:val="22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"...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ההצתה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היתה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המסוכנת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ביותר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במובן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הפשוט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הסכנה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לחיים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ולרכוש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והפוטנציאל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ההרסני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שבה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וכדברי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... 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שיודע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תחילתה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ואין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יודע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סופה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...".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בכדי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קבע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המחוקק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הגבוהים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שבסולם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הענישה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חמש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עשרה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ועשרים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שנה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...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הסכנה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הרובצת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לפתח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בגינה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שראשיתה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גפרור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ואחריתה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עלולה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שערי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מוות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lang w:val="en-US" w:eastAsia="en-US"/>
        </w:rPr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ראו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לעניין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הדין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3491/13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r>
        <w:rPr>
          <w:rFonts w:cs="Calibri" w:ascii="Calibri" w:hAnsi="Calibri"/>
          <w:sz w:val="2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צורך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להכביר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מילים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המסוכנות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הרבה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חומרי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נפץ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ומטעני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חבלה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סכנת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נפשות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פשוטו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כמשמעו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שומה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למגר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תופעה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סחר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נשיאה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והובלה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להתפשר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ולא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לנהוג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בסובלנות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רחמנות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יתרה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אחרים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שכמותו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כמוה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כהתאכזרות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הציבור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הרחב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מדובר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בחיי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lang w:val="en-US" w:eastAsia="en-US"/>
        </w:rPr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12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לנסיבות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הקשורות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המקרים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מדובר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במעשים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מתוכננים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ובביצוע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זאת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בבחינת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חלקו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היחסי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וההשפעה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בביצוע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להקל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בקביעת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מאחורי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בשליחותו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רקע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כספיים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המעשים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נעשו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סכסוך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סכסוך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מעורב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שימש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שלוחו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לפגיעה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הבנזין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השפעתו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ניתן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להתעלם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לרכבו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המתלונן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ששפך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הבנזין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שהצית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המכונית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כתוצאה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ממעשיו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נשרף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חלקו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הקדמי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הדברים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שמדובר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הנזק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יכול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גדול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יותר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נשיאת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הנשק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הסכים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מצינור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מתכתי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המכיל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עיקרי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ואמצעי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רסס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קליעים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ומסמרים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לידיו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שיניחו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בפתח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בעליה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מסוכסך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הוביל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הציבור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החזיק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החזירו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מבחינת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נסיבות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ביצוע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לראות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בהחזקת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חרטה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זאת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מלבד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החזרת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לאדם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למנוע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השימוש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במטען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ובסופו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התפוצץ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בפתח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המספרה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bookmarkStart w:id="9" w:name="תיקון"/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13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במכלול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השיקולים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כמפורט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לעיל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קובעת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הראשון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40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ובגין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השני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12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30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גזירת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המתאים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u w:val="single"/>
          <w:lang w:val="en-US" w:eastAsia="en-US"/>
        </w:rPr>
      </w:pP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14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בגזירת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עונשו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להתחשב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בראש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ובראשונה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בהודאתו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שקיבל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למעשיו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החרטה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לידי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ביטוי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קודם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להודאת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המשפט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להשלים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בנשיאת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נפץ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לחשוף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מיוזמתו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מעורבותו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הראשון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שיתף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פעולה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בחקירת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המשטרה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בנוסף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בנסיבותיו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כעולה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מטיעוני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סנגורו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בתקופת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בנזק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הממשי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למשפחתו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כתוצאה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מהיותו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מאחורי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סורג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ובריח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מנגד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הפלילי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מכביד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במיוחד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שאינו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חיובי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העניין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בקביעת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העונש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הכולל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האישומים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למקם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התחתון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מתחמי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אך לא בתחתית המתחמים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חפיפה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חלקית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העונשים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בהתחשב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באמור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לעיל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כמפורט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א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בפועל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32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8.5.2017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תנאי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חודשים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ירצה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יעבור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שחרורו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מהמאסר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פשע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בנשק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זכות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ערעור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המשפט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העליון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45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המזכירות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תשלח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העתק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פסק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הדין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לשירות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 xml:space="preserve">. 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 הצדדים ומתורגמנית לשפה </w:t>
      </w:r>
      <w:r>
        <w:rPr>
          <w:rFonts w:ascii="Arial" w:hAnsi="Arial" w:cs="Arial"/>
          <w:rtl w:val="true"/>
        </w:rPr>
        <w:t>הערבית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320"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153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start="720"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  <w:color w:val="FFFFFF"/>
          <w:sz w:val="2"/>
          <w:szCs w:val="2"/>
        </w:rPr>
      </w:pPr>
      <w:r>
        <w:rPr>
          <w:rStyle w:val="FrankRuehl14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57618-05-17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פירס בדואן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Style11">
    <w:name w:val="טקסט מציין מיקום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/44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11309013" TargetMode="External"/><Relationship Id="rId11" Type="http://schemas.openxmlformats.org/officeDocument/2006/relationships/hyperlink" Target="http://www.nevo.co.il/case/6731208" TargetMode="External"/><Relationship Id="rId12" Type="http://schemas.openxmlformats.org/officeDocument/2006/relationships/hyperlink" Target="http://www.nevo.co.il/case/5604013" TargetMode="External"/><Relationship Id="rId13" Type="http://schemas.openxmlformats.org/officeDocument/2006/relationships/hyperlink" Target="http://www.nevo.co.il/case/10485615" TargetMode="External"/><Relationship Id="rId14" Type="http://schemas.openxmlformats.org/officeDocument/2006/relationships/hyperlink" Target="http://www.nevo.co.il/case/5587202" TargetMode="External"/><Relationship Id="rId15" Type="http://schemas.openxmlformats.org/officeDocument/2006/relationships/hyperlink" Target="http://www.nevo.co.il/case/21837082" TargetMode="External"/><Relationship Id="rId16" Type="http://schemas.openxmlformats.org/officeDocument/2006/relationships/hyperlink" Target="http://www.nevo.co.il/case/2377854" TargetMode="External"/><Relationship Id="rId17" Type="http://schemas.openxmlformats.org/officeDocument/2006/relationships/hyperlink" Target="http://www.nevo.co.il/case/16968592" TargetMode="External"/><Relationship Id="rId18" Type="http://schemas.openxmlformats.org/officeDocument/2006/relationships/hyperlink" Target="http://www.nevo.co.il/case/18134824" TargetMode="External"/><Relationship Id="rId19" Type="http://schemas.openxmlformats.org/officeDocument/2006/relationships/hyperlink" Target="http://www.nevo.co.il/case/6861242" TargetMode="External"/><Relationship Id="rId20" Type="http://schemas.openxmlformats.org/officeDocument/2006/relationships/hyperlink" Target="http://www.nevo.co.il/case/20685827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case/5882592" TargetMode="External"/><Relationship Id="rId25" Type="http://schemas.openxmlformats.org/officeDocument/2006/relationships/hyperlink" Target="http://www.nevo.co.il/case/10485615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2022-08-31T13:44:00Z</dcterms:created>
  <dc:creator> </dc:creator>
  <dc:description/>
  <cp:keywords/>
  <dc:language>en-IL</dc:language>
  <cp:lastModifiedBy>h1</cp:lastModifiedBy>
  <dcterms:modified xsi:type="dcterms:W3CDTF">2022-08-31T13:44:00Z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פירס בדואן</vt:lpwstr>
  </property>
  <property fmtid="{D5CDD505-2E9C-101B-9397-08002B2CF9AE}" pid="4" name="CASESLISTTMP1">
    <vt:lpwstr>11309013;6731208;5604013;10485615:2;5587202;21837082;2377854;16968592;18134824;6861242;20685827;5882592</vt:lpwstr>
  </property>
  <property fmtid="{D5CDD505-2E9C-101B-9397-08002B2CF9AE}" pid="5" name="CITY">
    <vt:lpwstr>י-ם</vt:lpwstr>
  </property>
  <property fmtid="{D5CDD505-2E9C-101B-9397-08002B2CF9AE}" pid="6" name="DATE">
    <vt:lpwstr>20180201</vt:lpwstr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70301/448;144.b;040b;040c</vt:lpwstr>
  </property>
  <property fmtid="{D5CDD505-2E9C-101B-9397-08002B2CF9AE}" pid="10" name="NEWPARTA">
    <vt:lpwstr>57618</vt:lpwstr>
  </property>
  <property fmtid="{D5CDD505-2E9C-101B-9397-08002B2CF9AE}" pid="11" name="NEWPARTB">
    <vt:lpwstr>05</vt:lpwstr>
  </property>
  <property fmtid="{D5CDD505-2E9C-101B-9397-08002B2CF9AE}" pid="12" name="NEWPARTC">
    <vt:lpwstr>17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390020180201</vt:lpwstr>
  </property>
  <property fmtid="{D5CDD505-2E9C-101B-9397-08002B2CF9AE}" pid="17" name="TYPE_N_DATE">
    <vt:lpwstr>39020180201</vt:lpwstr>
  </property>
  <property fmtid="{D5CDD505-2E9C-101B-9397-08002B2CF9AE}" pid="18" name="WORDNUMPAGES">
    <vt:lpwstr>8</vt:lpwstr>
  </property>
</Properties>
</file>