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Header"/>
        <w:tabs>
          <w:tab w:val="clear" w:pos="720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57787-12-14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פנפילוב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57612-12-14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דוד רוזן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6" w:name="FirstAppellant"/>
            <w:bookmarkEnd w:id="6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ויטלי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טל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פנפילוב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רותם הורביץ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מקסים ז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ארד עמיאל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רמזי זיתון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נעים אל עיסאוי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7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7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זהר דולב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שרון קינן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 - </w:t>
      </w:r>
      <w:r>
        <w:rPr>
          <w:b w:val="false"/>
          <w:b w:val="false"/>
          <w:bCs w:val="false"/>
          <w:u w:val="none"/>
          <w:rtl w:val="true"/>
        </w:rPr>
        <w:t>התייצב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er"/>
        <w:tabs>
          <w:tab w:val="clear" w:pos="720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tabs>
          <w:tab w:val="clear" w:pos="720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Header"/>
        <w:tabs>
          <w:tab w:val="clear" w:pos="720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bookmarkStart w:id="8" w:name="LastJudge"/>
      <w:bookmarkEnd w:id="8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פי הודאתו במסגרת הסדר טיעון בעבירה שיוחסה לו בכתב האישום המתוקן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במ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פרקליטו המלומד טען כל אשר ניתן היה לטעון לביסוס עתירה לפיה ראוי לגזור על הנאשם עונש הצופה פני 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אמרתי בקול רם וברור 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המשפט וכתבתי שחור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גבי לבן 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הדין בעניינם של הנאשמים האחרים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העונש לו עותרת התביעה הינו עונש החורג מרמת הענישה המקובלת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ובודאי הצריכה בעבירות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פרקליטות המחוז פעלה בהגינות ובמידתיות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פי דרכה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ברם התוצאה הסופית בסופו של הליך הינה שכל הנאשמים בתיק זה נענשו בענישה מקלה בצורה רבתית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ובטח ובטח הנאשם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פי עובדות כתב האישום חלקו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גם אם היה שולי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עדיין ניכר בפרשה שתוארה עלי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מתחם הענישה בענייננו נדון 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הדין של הנאשמים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הדברים דומים בענייננו ויש לקבוע מתחם ענישה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שינוע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ששקלתי 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נתתי מלוא המשקל לטיעוניו הנכבדים של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ד שרון 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להמלצת שירות המבחן ולחוות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הדעת 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b/>
          <w:bCs/>
          <w:sz w:val="22"/>
          <w:szCs w:val="26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מתוכם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והיתרה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שנים עבירה לפי </w:t>
      </w:r>
      <w:hyperlink r:id="rId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סע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b/>
          <w:bCs/>
          <w:sz w:val="22"/>
          <w:szCs w:val="26"/>
        </w:rPr>
      </w:pPr>
      <w:r>
        <w:rPr>
          <w:b/>
          <w:bCs/>
          <w:sz w:val="22"/>
          <w:szCs w:val="26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sz w:val="20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יבצע </w:t>
      </w:r>
      <w:r>
        <w:rPr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עונש המאסר 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יסוד ברכת כהן</w:t>
      </w:r>
      <w:r>
        <w:rPr>
          <w:sz w:val="22"/>
          <w:rtl w:val="true"/>
        </w:rPr>
        <w:t>",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 xml:space="preserve">חלמית </w:t>
      </w:r>
      <w:r>
        <w:rPr>
          <w:sz w:val="22"/>
        </w:rPr>
        <w:t>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8.5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 עבודה יומיות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במשך חמישה ימים בשבוע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sz w:val="20"/>
        </w:rPr>
      </w:pPr>
      <w:r>
        <w:rPr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יחל </w:t>
      </w:r>
      <w:r>
        <w:rPr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עונש עבודות השירות ביום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26.10.15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08:00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מזכירות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/>
          <w:bCs/>
          <w:sz w:val="22"/>
          <w:sz w:val="22"/>
          <w:rtl w:val="true"/>
        </w:rPr>
        <w:t xml:space="preserve"> תעביר העתק החלטה זו לממונה לעבודות השירות</w:t>
      </w:r>
      <w:r>
        <w:rPr>
          <w:b/>
          <w:bCs/>
          <w:sz w:val="22"/>
          <w:rtl w:val="true"/>
        </w:rPr>
        <w:t>.</w:t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הנני מטיל על הנאשם קנס כספי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ינוכה מפיקדון שהופקד על</w:t>
      </w:r>
      <w:r>
        <w:rPr>
          <w:rtl w:val="true"/>
        </w:rPr>
        <w:t>-</w:t>
      </w:r>
      <w:r>
        <w:rPr>
          <w:rtl w:val="true"/>
        </w:rPr>
        <w:t xml:space="preserve">ידי הנאשם בתיק המעצרים </w:t>
      </w:r>
      <w:r>
        <w:rPr>
          <w:rtl w:val="true"/>
        </w:rPr>
        <w:t>(</w:t>
      </w:r>
      <w:r>
        <w:rPr>
          <w:rtl w:val="true"/>
        </w:rPr>
        <w:t xml:space="preserve">תיק מעצרים </w:t>
      </w:r>
      <w:r>
        <w:rPr/>
        <w:t>57612-12-14</w:t>
      </w:r>
      <w:r>
        <w:rPr>
          <w:rtl w:val="true"/>
        </w:rPr>
        <w:t xml:space="preserve">), </w:t>
      </w:r>
      <w:r>
        <w:rPr>
          <w:rtl w:val="true"/>
        </w:rPr>
        <w:t>יתרת הפיקדון תושב לנאשם</w:t>
      </w:r>
      <w:r>
        <w:rPr>
          <w:rtl w:val="true"/>
        </w:rPr>
        <w:t xml:space="preserve">. 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7172" w:leader="none"/>
        </w:tabs>
        <w:overflowPunct w:val="false"/>
        <w:autoSpaceDE w:val="false"/>
        <w:spacing w:lineRule="auto" w:line="360"/>
        <w:ind w:end="0"/>
        <w:jc w:val="both"/>
        <w:rPr>
          <w:sz w:val="20"/>
        </w:rPr>
      </w:pPr>
      <w:r>
        <w:rPr>
          <w:sz w:val="22"/>
          <w:sz w:val="22"/>
          <w:rtl w:val="true"/>
        </w:rPr>
        <w:t>זכות</w:t>
      </w:r>
      <w:r>
        <w:rPr>
          <w:sz w:val="22"/>
          <w:sz w:val="22"/>
          <w:rtl w:val="true"/>
        </w:rPr>
        <w:t xml:space="preserve"> ערעור </w:t>
      </w:r>
      <w:r>
        <w:rPr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דוד רוזן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עופר</w:t>
      </w:r>
      <w:r>
        <w:rPr>
          <w:rtl w:val="true"/>
        </w:rPr>
        <w:t xml:space="preserve"> </w:t>
      </w:r>
      <w:r>
        <w:rPr>
          <w:rtl w:val="true"/>
        </w:rPr>
        <w:t>קוצ</w:t>
      </w:r>
      <w:r>
        <w:rPr>
          <w:rtl w:val="true"/>
        </w:rPr>
        <w:t>'</w:t>
      </w:r>
      <w:r>
        <w:rPr>
          <w:rtl w:val="true"/>
        </w:rPr>
        <w:t>ינסקי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57787-12-14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ויטלי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טל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פנפילוב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2015-12-20T13:02:00Z</dcterms:created>
  <dc:creator> </dc:creator>
  <dc:description/>
  <cp:keywords/>
  <dc:language>en-IL</dc:language>
  <cp:lastModifiedBy>hofit</cp:lastModifiedBy>
  <dcterms:modified xsi:type="dcterms:W3CDTF">2015-12-20T13:02:00Z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ויטלי(טל) פנפילוב;רותם הורביץ;מקסים ז'אן;ארד עמיאל;רמזי זיתון;נעים אל עיסאוי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20150916</vt:lpwstr>
  </property>
  <property fmtid="{D5CDD505-2E9C-101B-9397-08002B2CF9AE}" pid="10" name="DELEMATA">
    <vt:lpwstr/>
  </property>
  <property fmtid="{D5CDD505-2E9C-101B-9397-08002B2CF9AE}" pid="11" name="JUDGE">
    <vt:lpwstr>דוד רוזן</vt:lpwstr>
  </property>
  <property fmtid="{D5CDD505-2E9C-101B-9397-08002B2CF9AE}" pid="12" name="LAWLISTTMP1">
    <vt:lpwstr>70301/144:2</vt:lpwstr>
  </property>
  <property fmtid="{D5CDD505-2E9C-101B-9397-08002B2CF9AE}" pid="13" name="LAWYER">
    <vt:lpwstr>זהר דולב;שרון קינן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57787</vt:lpwstr>
  </property>
  <property fmtid="{D5CDD505-2E9C-101B-9397-08002B2CF9AE}" pid="20" name="NEWPARTB">
    <vt:lpwstr>12</vt:lpwstr>
  </property>
  <property fmtid="{D5CDD505-2E9C-101B-9397-08002B2CF9AE}" pid="21" name="NEWPARTC">
    <vt:lpwstr>14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390020150916</vt:lpwstr>
  </property>
  <property fmtid="{D5CDD505-2E9C-101B-9397-08002B2CF9AE}" pid="32" name="TYPE_N_DATE">
    <vt:lpwstr>39020150916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