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6"/>
        <w:gridCol w:w="241"/>
        <w:gridCol w:w="3587"/>
      </w:tblGrid>
      <w:tr>
        <w:trPr>
          <w:trHeight w:val="418" w:hRule="atLeast"/>
        </w:trPr>
        <w:tc>
          <w:tcPr>
            <w:tcW w:w="8504" w:type="dxa"/>
            <w:gridSpan w:val="3"/>
            <w:tcBorders/>
          </w:tcPr>
          <w:p>
            <w:pPr>
              <w:pStyle w:val="Header"/>
              <w:ind w:end="0"/>
              <w:jc w:val="center"/>
              <w:rPr/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467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</w:p>
        </w:tc>
        <w:tc>
          <w:tcPr>
            <w:tcW w:w="24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587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/>
            </w:pPr>
            <w:r>
              <w:rPr>
                <w:b/>
                <w:bCs/>
              </w:rPr>
              <w:t>20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2023</w:t>
            </w:r>
          </w:p>
          <w:p>
            <w:pPr>
              <w:pStyle w:val="Header"/>
              <w:tabs>
                <w:tab w:val="clear" w:pos="720"/>
              </w:tabs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end"/>
              <w:rPr/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u w:val="single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u w:val="single"/>
                </w:rPr>
                <w:t>57854-03-23</w:t>
              </w:r>
            </w:hyperlink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עפאש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524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186"/>
        <w:gridCol w:w="628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46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24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52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/>
        <w:tc>
          <w:tcPr>
            <w:tcW w:w="224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מוחמד אבו עפאש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מונטיליו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סגל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וותד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#9#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0000FF"/>
          <w:sz w:val="28"/>
          <w:szCs w:val="28"/>
        </w:rPr>
      </w:pPr>
      <w:r>
        <w:rPr>
          <w:rFonts w:cs="Arial" w:ascii="Arial" w:hAnsi="Arial"/>
          <w:color w:val="0000FF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בטרם שמיעת הראיות</w:t>
      </w:r>
      <w:r>
        <w:rPr>
          <w:rtl w:val="true"/>
        </w:rPr>
        <w:t xml:space="preserve">, </w:t>
      </w:r>
      <w:r>
        <w:rPr>
          <w:rtl w:val="true"/>
        </w:rPr>
        <w:t>הצדדים הגיעו להסדר טיעון בגדרו הוגש נגד הנאשם כתב אישום מתוקן והנאשם הודה בעובדותיו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כתב האישום המתוקן מתאר</w:t>
      </w:r>
      <w:r>
        <w:rPr>
          <w:rtl w:val="true"/>
        </w:rPr>
        <w:t xml:space="preserve">, </w:t>
      </w:r>
      <w:r>
        <w:rPr>
          <w:rtl w:val="true"/>
        </w:rPr>
        <w:t xml:space="preserve">שביום </w:t>
      </w:r>
      <w:r>
        <w:rPr/>
        <w:t>09.03.23</w:t>
      </w:r>
      <w:r>
        <w:rPr>
          <w:rtl w:val="true"/>
        </w:rPr>
        <w:t xml:space="preserve"> </w:t>
      </w:r>
      <w:r>
        <w:rPr>
          <w:rtl w:val="true"/>
        </w:rPr>
        <w:t>בשעת בוקר</w:t>
      </w:r>
      <w:r>
        <w:rPr>
          <w:rtl w:val="true"/>
        </w:rPr>
        <w:t xml:space="preserve">, </w:t>
      </w:r>
      <w:r>
        <w:rPr>
          <w:rtl w:val="true"/>
        </w:rPr>
        <w:t>בקרית גת</w:t>
      </w:r>
      <w:r>
        <w:rPr>
          <w:rtl w:val="true"/>
        </w:rPr>
        <w:t xml:space="preserve">, </w:t>
      </w:r>
      <w:r>
        <w:rPr>
          <w:rtl w:val="true"/>
        </w:rPr>
        <w:t xml:space="preserve">הנאשם נשא על גופו אקדח חצי אוטומטי מסוג </w:t>
      </w:r>
      <w:r>
        <w:rPr/>
        <w:t>ZASTAVA</w:t>
      </w:r>
      <w:r>
        <w:rPr>
          <w:rtl w:val="true"/>
        </w:rPr>
        <w:t xml:space="preserve"> </w:t>
      </w:r>
      <w:r>
        <w:rPr>
          <w:rtl w:val="true"/>
        </w:rPr>
        <w:t xml:space="preserve">קליבר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ומחסנית תואמת לאקדח</w:t>
      </w:r>
      <w:r>
        <w:rPr>
          <w:rtl w:val="true"/>
        </w:rPr>
        <w:t xml:space="preserve">. </w:t>
      </w:r>
      <w:r>
        <w:rPr>
          <w:rtl w:val="true"/>
        </w:rPr>
        <w:t>שוטרים שהגיעו למקום בו היה הנאשם ערכו חיפוש ומצאו את האקדח והמחסנית ברשות הנאשם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על יסוד הודאת הנאשם בעובדות כאמור</w:t>
      </w:r>
      <w:r>
        <w:rPr>
          <w:rtl w:val="true"/>
        </w:rPr>
        <w:t xml:space="preserve">, </w:t>
      </w:r>
      <w:r>
        <w:rPr>
          <w:rtl w:val="true"/>
        </w:rPr>
        <w:t>הוא הורשע בעבירה של נשיאת נשק ותחמושת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5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ב</w:t>
      </w:r>
      <w:hyperlink r:id="rId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 xml:space="preserve">במסגרת הסדר הטיעון הצדדים המליצו לבית המשפט להטיל על הנאשם מאסר בפועל למשך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 xml:space="preserve">הנאשם צעיר מגיל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וקיימת חובה לקבל עליו תסקיר של שירות המבחן</w:t>
      </w:r>
      <w:r>
        <w:rPr>
          <w:rtl w:val="true"/>
        </w:rPr>
        <w:t xml:space="preserve">. </w:t>
      </w:r>
      <w:r>
        <w:rPr>
          <w:rtl w:val="true"/>
        </w:rPr>
        <w:t xml:space="preserve">שירות המבחן ציין בתסקירו שהנאשם בן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ללא עבר פלילי</w:t>
      </w:r>
      <w:r>
        <w:rPr>
          <w:rtl w:val="true"/>
        </w:rPr>
        <w:t xml:space="preserve">. </w:t>
      </w:r>
      <w:r>
        <w:rPr>
          <w:rtl w:val="true"/>
        </w:rPr>
        <w:t>בהתייחסותו לעבירה</w:t>
      </w:r>
      <w:r>
        <w:rPr>
          <w:rtl w:val="true"/>
        </w:rPr>
        <w:t xml:space="preserve">, </w:t>
      </w:r>
      <w:r>
        <w:rPr>
          <w:rtl w:val="true"/>
        </w:rPr>
        <w:t>מסר מידע המאופיין בהיתממות והתקשה לקחת אחריות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מסר שרכש את הנשק באופן עצמאי</w:t>
      </w:r>
      <w:r>
        <w:rPr>
          <w:rtl w:val="true"/>
        </w:rPr>
        <w:t xml:space="preserve">, </w:t>
      </w:r>
      <w:r>
        <w:rPr>
          <w:rtl w:val="true"/>
        </w:rPr>
        <w:t>בסכום כסף לא מבוטל</w:t>
      </w:r>
      <w:r>
        <w:rPr>
          <w:rtl w:val="true"/>
        </w:rPr>
        <w:t xml:space="preserve">, </w:t>
      </w:r>
      <w:r>
        <w:rPr>
          <w:rtl w:val="true"/>
        </w:rPr>
        <w:t>מתוך סקרנות</w:t>
      </w:r>
      <w:r>
        <w:rPr>
          <w:rtl w:val="true"/>
        </w:rPr>
        <w:t xml:space="preserve">. </w:t>
      </w:r>
      <w:r>
        <w:rPr>
          <w:rtl w:val="true"/>
        </w:rPr>
        <w:t>שלל כוונה לאיים באמצעותו או לעשות בו שימוש אקטיבי</w:t>
      </w:r>
      <w:r>
        <w:rPr>
          <w:rtl w:val="true"/>
        </w:rPr>
        <w:t xml:space="preserve">. </w:t>
      </w:r>
      <w:r>
        <w:rPr>
          <w:rtl w:val="true"/>
        </w:rPr>
        <w:t>הכחיש התרועעות עם חברה שולית</w:t>
      </w:r>
      <w:r>
        <w:rPr>
          <w:rtl w:val="true"/>
        </w:rPr>
        <w:t xml:space="preserve">. </w:t>
      </w:r>
      <w:r>
        <w:rPr>
          <w:rtl w:val="true"/>
        </w:rPr>
        <w:t>שירות המבחן ציין שהנאשם לא מכיר בדפוסיו המכשילים ומתייחס בקלות ראש לאירוע ולחומרתו</w:t>
      </w:r>
      <w:r>
        <w:rPr>
          <w:rtl w:val="true"/>
        </w:rPr>
        <w:t xml:space="preserve">. </w:t>
      </w:r>
      <w:r>
        <w:rPr>
          <w:rtl w:val="true"/>
        </w:rPr>
        <w:t>התרשם שקיים סיכון גבוה להישנות התנהגות עוברת חוק ושולית</w:t>
      </w:r>
      <w:r>
        <w:rPr>
          <w:rtl w:val="true"/>
        </w:rPr>
        <w:t xml:space="preserve">, </w:t>
      </w:r>
      <w:r>
        <w:rPr>
          <w:rtl w:val="true"/>
        </w:rPr>
        <w:t>לרבות בתחום הנשק</w:t>
      </w:r>
      <w:r>
        <w:rPr>
          <w:rtl w:val="true"/>
        </w:rPr>
        <w:t xml:space="preserve">. </w:t>
      </w:r>
      <w:r>
        <w:rPr>
          <w:rtl w:val="true"/>
        </w:rPr>
        <w:t>נמנע מהמלצה טיפולית על הנאשם</w:t>
      </w:r>
      <w:r>
        <w:rPr>
          <w:rtl w:val="true"/>
        </w:rPr>
        <w:t xml:space="preserve">. </w:t>
      </w:r>
      <w:r>
        <w:rPr>
          <w:rtl w:val="true"/>
        </w:rPr>
        <w:t>והמליץ לאמץ את ההסכמה העונשית של הצדדים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הפנתה להתרשמות שירות המבחן מהנאשם ומקיומו של סיכון להישנות עבירות</w:t>
      </w:r>
      <w:r>
        <w:rPr>
          <w:rtl w:val="true"/>
        </w:rPr>
        <w:t xml:space="preserve">. </w:t>
      </w:r>
      <w:r>
        <w:rPr>
          <w:rtl w:val="true"/>
        </w:rPr>
        <w:t>טענה שהעונש המוצע מותאם לעבירה בנסיבותיה</w:t>
      </w:r>
      <w:r>
        <w:rPr>
          <w:rtl w:val="true"/>
        </w:rPr>
        <w:t xml:space="preserve">. </w:t>
      </w:r>
      <w:r>
        <w:rPr>
          <w:rtl w:val="true"/>
        </w:rPr>
        <w:t>ושהנאשם לקח אחריות על מעשיו ואין לו עבר פלילי</w:t>
      </w:r>
      <w:r>
        <w:rPr>
          <w:rtl w:val="true"/>
        </w:rPr>
        <w:t xml:space="preserve">. </w:t>
      </w:r>
      <w:r>
        <w:rPr>
          <w:rtl w:val="true"/>
        </w:rPr>
        <w:t>וביקשה לאמץ את הסדר הטיעון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להטיל על הנאשם מאסר על תנאי מרתיע וקנס משמעותי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טען שעונש המאסר המוצע תואם את הפסיקה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 xml:space="preserve">שהנאשם בחור צעיר בן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נעדר עבר פלילי</w:t>
      </w:r>
      <w:r>
        <w:rPr>
          <w:rtl w:val="true"/>
        </w:rPr>
        <w:t xml:space="preserve">. </w:t>
      </w:r>
      <w:r>
        <w:rPr>
          <w:rtl w:val="true"/>
        </w:rPr>
        <w:t>בן למשפחה נורמטיבית</w:t>
      </w:r>
      <w:r>
        <w:rPr>
          <w:rtl w:val="true"/>
        </w:rPr>
        <w:t xml:space="preserve">. </w:t>
      </w:r>
      <w:r>
        <w:rPr>
          <w:rtl w:val="true"/>
        </w:rPr>
        <w:t>וציין שהתקווה היא שהנאשם ינצל את תקופת מאסרו וישתלב בהליך טיפולי בכלא</w:t>
      </w:r>
      <w:r>
        <w:rPr>
          <w:rtl w:val="true"/>
        </w:rPr>
        <w:t xml:space="preserve">. </w:t>
      </w:r>
      <w:r>
        <w:rPr>
          <w:rtl w:val="true"/>
        </w:rPr>
        <w:t>וביקש שלא להטיל על הנאשם קנס</w:t>
      </w:r>
      <w:r>
        <w:rPr>
          <w:rtl w:val="true"/>
        </w:rPr>
        <w:t xml:space="preserve">, </w:t>
      </w:r>
      <w:r>
        <w:rPr>
          <w:rtl w:val="true"/>
        </w:rPr>
        <w:t>בהתחשב באורך תקופת המאסר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החומרה הנעוצה בהחזקת ונשיאת נשק ותחמושת שלא כדין</w:t>
      </w:r>
      <w:r>
        <w:rPr>
          <w:rtl w:val="true"/>
        </w:rPr>
        <w:t xml:space="preserve">, </w:t>
      </w:r>
      <w:r>
        <w:rPr>
          <w:rtl w:val="true"/>
        </w:rPr>
        <w:t>ברורה מאליה והיא בבחינת מפורסמות שאינן צריכות ראיה</w:t>
      </w:r>
      <w:r>
        <w:rPr>
          <w:rtl w:val="true"/>
        </w:rPr>
        <w:t xml:space="preserve">. </w:t>
      </w:r>
      <w:r>
        <w:rPr>
          <w:rtl w:val="true"/>
        </w:rPr>
        <w:t>הסכנות הגלומות בהחזקת נשק ובשימוש בו</w:t>
      </w:r>
      <w:r>
        <w:rPr>
          <w:rtl w:val="true"/>
        </w:rPr>
        <w:t xml:space="preserve">, </w:t>
      </w:r>
      <w:r>
        <w:rPr>
          <w:rtl w:val="true"/>
        </w:rPr>
        <w:t>לפרט ולחברה</w:t>
      </w:r>
      <w:r>
        <w:rPr>
          <w:rtl w:val="true"/>
        </w:rPr>
        <w:t xml:space="preserve">, </w:t>
      </w:r>
      <w:r>
        <w:rPr>
          <w:rtl w:val="true"/>
        </w:rPr>
        <w:t>רבות וחמורות והן מצדיקות ענישה משמעותית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מדיניות הענישה הנוהגת בעבירות נשק הינה של חומרה מובהקת</w:t>
      </w:r>
      <w:r>
        <w:rPr>
          <w:rtl w:val="true"/>
        </w:rPr>
        <w:t xml:space="preserve">, </w:t>
      </w:r>
      <w:r>
        <w:rPr>
          <w:rtl w:val="true"/>
        </w:rPr>
        <w:t>והלכה למעשה בתי המשפט מטילים על עבירות אלה עונשים חמורים</w:t>
      </w:r>
      <w:r>
        <w:rPr>
          <w:rtl w:val="true"/>
        </w:rPr>
        <w:t xml:space="preserve">, </w:t>
      </w:r>
      <w:r>
        <w:rPr>
          <w:rtl w:val="true"/>
        </w:rPr>
        <w:t>הכוללים תקופות מאסר משמעותיות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הודאת הנאשם ניתנה במסגרת הסדר טיעון הכולל המלצה משותפת לעונש</w:t>
      </w:r>
      <w:r>
        <w:rPr>
          <w:rtl w:val="true"/>
        </w:rPr>
        <w:t xml:space="preserve">, </w:t>
      </w:r>
      <w:r>
        <w:rPr>
          <w:rtl w:val="true"/>
        </w:rPr>
        <w:t>מתוך ציפיה שבית המשפט יכבד את המלצת הצדדים</w:t>
      </w:r>
      <w:r>
        <w:rPr>
          <w:rtl w:val="true"/>
        </w:rPr>
        <w:t xml:space="preserve">. </w:t>
      </w:r>
      <w:r>
        <w:rPr>
          <w:rtl w:val="true"/>
        </w:rPr>
        <w:t>והכלל הוא שבתי המשפט מכבדים הסדרי טיעון אלא אם כן ההקלה הגלומה בעונש המוצע איננה עומדת ביחס הולם לנסיבות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 xml:space="preserve">מדובר בנאשם צעיר כבן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שזהו מאסרו הראשון</w:t>
      </w:r>
      <w:r>
        <w:rPr>
          <w:rtl w:val="true"/>
        </w:rPr>
        <w:t xml:space="preserve">. </w:t>
      </w:r>
      <w:r>
        <w:rPr>
          <w:rtl w:val="true"/>
        </w:rPr>
        <w:t>והעונש המוצע בהסדר הטיעון מותאם לנסיבות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 xml:space="preserve">אני מקבל את המלצת הצדדים לעונש ומטיל על הנאשם את העונשים הבאים – 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1.9.23</w:t>
      </w:r>
      <w:r>
        <w:rPr>
          <w:rtl w:val="true"/>
        </w:rPr>
        <w:t xml:space="preserve"> .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#10#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/>
      </w:pPr>
      <w:bookmarkStart w:id="10" w:name="Nitan"/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20/07/2023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  <w:bookmarkEnd w:id="10"/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682" w:type="dxa"/>
        <w:jc w:val="start"/>
        <w:tblInd w:w="3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82"/>
      </w:tblGrid>
      <w:tr>
        <w:trPr>
          <w:trHeight w:val="316" w:hRule="atLeast"/>
        </w:trPr>
        <w:tc>
          <w:tcPr>
            <w:tcW w:w="368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68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</w:p>
        </w:tc>
      </w:tr>
    </w:tbl>
    <w:p>
      <w:pPr>
        <w:pStyle w:val="Normal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57854-03-23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אבו עפאש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1080" w:hanging="72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953351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advertisements/nevo-100.doc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2023-07-24T11:57:00Z</dcterms:created>
  <dc:creator> </dc:creator>
  <dc:description/>
  <cp:keywords/>
  <dc:language>en-IL</dc:language>
  <cp:lastModifiedBy>h1</cp:lastModifiedBy>
  <dcterms:modified xsi:type="dcterms:W3CDTF">2023-07-24T11:57:00Z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אבו עפאש</vt:lpwstr>
  </property>
  <property fmtid="{D5CDD505-2E9C-101B-9397-08002B2CF9AE}" pid="4" name="CASESLISTTMP1">
    <vt:lpwstr>29533516</vt:lpwstr>
  </property>
  <property fmtid="{D5CDD505-2E9C-101B-9397-08002B2CF9AE}" pid="5" name="CITY">
    <vt:lpwstr>ב"ש</vt:lpwstr>
  </property>
  <property fmtid="{D5CDD505-2E9C-101B-9397-08002B2CF9AE}" pid="6" name="DATE">
    <vt:lpwstr>20230720</vt:lpwstr>
  </property>
  <property fmtid="{D5CDD505-2E9C-101B-9397-08002B2CF9AE}" pid="7" name="JUDGE">
    <vt:lpwstr>אליהו ביתן</vt:lpwstr>
  </property>
  <property fmtid="{D5CDD505-2E9C-101B-9397-08002B2CF9AE}" pid="8" name="LAWLISTTMP1">
    <vt:lpwstr>70301/144.b</vt:lpwstr>
  </property>
  <property fmtid="{D5CDD505-2E9C-101B-9397-08002B2CF9AE}" pid="9" name="LAWYER">
    <vt:lpwstr>לני מונטיליו סגל;אחמד וותד</vt:lpwstr>
  </property>
  <property fmtid="{D5CDD505-2E9C-101B-9397-08002B2CF9AE}" pid="10" name="NEWPARTA">
    <vt:lpwstr>57854</vt:lpwstr>
  </property>
  <property fmtid="{D5CDD505-2E9C-101B-9397-08002B2CF9AE}" pid="11" name="NEWPARTB">
    <vt:lpwstr>03</vt:lpwstr>
  </property>
  <property fmtid="{D5CDD505-2E9C-101B-9397-08002B2CF9AE}" pid="12" name="NEWPARTC">
    <vt:lpwstr>23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390020230720</vt:lpwstr>
  </property>
  <property fmtid="{D5CDD505-2E9C-101B-9397-08002B2CF9AE}" pid="17" name="TYPE_N_DATE">
    <vt:lpwstr>39020230720</vt:lpwstr>
  </property>
  <property fmtid="{D5CDD505-2E9C-101B-9397-08002B2CF9AE}" pid="18" name="WORDNUMPAGES">
    <vt:lpwstr>3</vt:lpwstr>
  </property>
</Properties>
</file>