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5795-07-14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תורק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רמאדן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תורק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נוכחים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נעמה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טל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והמתמחה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סתיו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שורצברג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  <w:rtl w:val="true"/>
        </w:rPr>
        <w:t xml:space="preserve">           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רהט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  <w:rtl w:val="true"/>
        </w:rPr>
        <w:t xml:space="preserve">          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הובא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יב</w:t>
        </w:r>
      </w:hyperlink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6" w:name="PsakDin"/>
            <w:bookmarkStart w:id="7" w:name="FirstLawyer"/>
            <w:bookmarkEnd w:id="7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  <w:bookmarkEnd w:id="6"/>
          </w:p>
        </w:tc>
      </w:tr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cs="FrankRuehl"/>
          <w:sz w:val="28"/>
          <w:szCs w:val="28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21.6.14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לתנועת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עזבו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צפייה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FrankRuehl"/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תולדותיו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שיפוצים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באוניברסיטה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שמשכורתו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מקצבאות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ופורצת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נוסף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מכחיש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מעורבותו</w:t>
      </w:r>
      <w:r>
        <w:rPr>
          <w:rFonts w:cs="FrankRuehl"/>
          <w:bCs/>
          <w:sz w:val="28"/>
          <w:szCs w:val="28"/>
          <w:rtl w:val="true"/>
        </w:rPr>
        <w:t xml:space="preserve">, </w:t>
      </w:r>
      <w:r>
        <w:rPr>
          <w:rFonts w:cs="FrankRuehl"/>
          <w:bCs/>
          <w:sz w:val="28"/>
          <w:sz w:val="28"/>
          <w:szCs w:val="28"/>
          <w:rtl w:val="true"/>
        </w:rPr>
        <w:t>ועל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כן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נעצר</w:t>
      </w:r>
      <w:r>
        <w:rPr>
          <w:rFonts w:cs="FrankRuehl"/>
          <w:bCs/>
          <w:sz w:val="28"/>
          <w:szCs w:val="28"/>
          <w:rtl w:val="true"/>
        </w:rPr>
        <w:t xml:space="preserve">. </w:t>
      </w:r>
      <w:r>
        <w:rPr>
          <w:rFonts w:cs="FrankRuehl"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התרשם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במהלך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ביצוע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כחונך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פרויקט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חונכות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הוורבאלית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המפותחת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ויציבותו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10"/>
          <w:szCs w:val="10"/>
        </w:rPr>
      </w:pPr>
      <w:r>
        <w:rPr>
          <w:rFonts w:cs="FrankRuehl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43405-12-12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 xml:space="preserve">) 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להתממשות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יתרחש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0"/>
          <w:szCs w:val="20"/>
        </w:rPr>
      </w:pPr>
      <w:r>
        <w:rPr>
          <w:rFonts w:cs="FrankRuehl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שנולד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hyperlink r:id="rId15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אסמאעיל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ונצור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סטודנט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hyperlink r:id="rId16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12251-11-11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חליל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hyperlink r:id="rId17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1357/12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דבאח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סאלח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  <w:tab/>
      </w:r>
      <w:hyperlink r:id="rId18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24322-01-13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.</w:t>
        <w:tab/>
      </w:r>
      <w:hyperlink r:id="rId19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3156/11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זראיעה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והסתייעות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.</w:t>
        <w:tab/>
      </w:r>
      <w:hyperlink r:id="rId20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43405-12-12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גלר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שיוריד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לשיפוצים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הסיר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צפי</w:t>
      </w:r>
      <w:r>
        <w:rPr>
          <w:rFonts w:cs="FrankRuehl"/>
          <w:sz w:val="28"/>
          <w:sz w:val="28"/>
          <w:szCs w:val="28"/>
          <w:rtl w:val="true"/>
        </w:rPr>
        <w:t>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שמתלהט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ודחיפות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1:15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ומנפנף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שיסוף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שעוצרים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הסכינים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מטלטל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העשתונות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שמטרתו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625/82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668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לאכיפה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וזרקו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שבכוונתם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ניפצו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בתגובה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נסגרו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ומוחמד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בחקירותיו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למחרת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22.6-23.6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המנציחה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28.8.14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וככזה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hyperlink r:id="rId22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15376-06-13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מרכז</w:t>
      </w:r>
      <w:r>
        <w:rPr>
          <w:rFonts w:cs="FrankRuehl"/>
          <w:b/>
          <w:bCs/>
          <w:sz w:val="28"/>
          <w:szCs w:val="28"/>
          <w:rtl w:val="true"/>
        </w:rPr>
        <w:t xml:space="preserve">)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אלמוגי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/>
          <w:b/>
          <w:bCs/>
          <w:sz w:val="28"/>
          <w:szCs w:val="28"/>
          <w:rtl w:val="true"/>
        </w:rPr>
        <w:t>.</w:t>
        <w:tab/>
      </w:r>
      <w:hyperlink r:id="rId23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9579-03-09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חיפה</w:t>
      </w:r>
      <w:r>
        <w:rPr>
          <w:rFonts w:cs="FrankRuehl"/>
          <w:b/>
          <w:bCs/>
          <w:sz w:val="28"/>
          <w:szCs w:val="28"/>
          <w:rtl w:val="true"/>
        </w:rPr>
        <w:t xml:space="preserve">)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</w:t>
      </w:r>
      <w:r>
        <w:rPr>
          <w:rFonts w:cs="FrankRuehl"/>
          <w:b/>
          <w:bCs/>
          <w:sz w:val="28"/>
          <w:szCs w:val="28"/>
          <w:rtl w:val="true"/>
        </w:rPr>
        <w:t>.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Cs/>
          <w:sz w:val="28"/>
          <w:szCs w:val="28"/>
        </w:rPr>
        <w:t>7036/08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ענאן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חיפה</w:t>
      </w:r>
      <w:r>
        <w:rPr>
          <w:rFonts w:cs="FrankRuehl"/>
          <w:b/>
          <w:bCs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FrankRuehl"/>
          <w:b/>
          <w:bCs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</w:t>
      </w:r>
      <w:r>
        <w:rPr>
          <w:rFonts w:cs="FrankRuehl"/>
          <w:b/>
          <w:bCs/>
          <w:sz w:val="28"/>
          <w:szCs w:val="28"/>
          <w:rtl w:val="true"/>
        </w:rPr>
        <w:t>.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hyperlink r:id="rId24"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6096/07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טיוריקוב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חיפה</w:t>
      </w:r>
      <w:r>
        <w:rPr>
          <w:rFonts w:cs="FrankRuehl"/>
          <w:b/>
          <w:bCs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התווכחה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FrankRuehl"/>
          <w:b/>
          <w:bCs/>
          <w:sz w:val="28"/>
          <w:szCs w:val="28"/>
          <w:rtl w:val="true"/>
        </w:rPr>
        <w:t>.</w:t>
      </w:r>
      <w:r>
        <w:rPr>
          <w:rFonts w:cs="FrankRuehl"/>
          <w:b/>
          <w:bCs/>
          <w:sz w:val="28"/>
          <w:szCs w:val="28"/>
          <w:rtl w:val="true"/>
        </w:rPr>
        <w:tab/>
      </w:r>
      <w:hyperlink r:id="rId25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11059-05-12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מוסא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מרכז</w:t>
      </w:r>
      <w:r>
        <w:rPr>
          <w:rFonts w:cs="FrankRuehl"/>
          <w:b/>
          <w:bCs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וללקוחות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לאוויר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FrankRuehl"/>
          <w:b/>
          <w:bCs/>
          <w:sz w:val="28"/>
          <w:szCs w:val="28"/>
          <w:rtl w:val="true"/>
        </w:rPr>
        <w:t>.</w:t>
        <w:tab/>
      </w:r>
      <w:hyperlink r:id="rId26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1505/14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לידאוי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כגנוב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FrankRuehl"/>
          <w:b/>
          <w:bCs/>
          <w:sz w:val="28"/>
          <w:szCs w:val="28"/>
          <w:rtl w:val="true"/>
        </w:rPr>
        <w:t>.</w:t>
        <w:tab/>
      </w:r>
      <w:hyperlink r:id="rId27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2006/12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קאסם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אסדי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וערעור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cs="FrankRuehl"/>
          <w:sz w:val="28"/>
          <w:sz w:val="28"/>
          <w:szCs w:val="28"/>
          <w:rtl w:val="true"/>
        </w:rPr>
        <w:t>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כוחנית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תלונתו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הברזלים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3156/11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זראיעה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פרופורציונאלית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בבואי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יב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פרופורציונאלי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28.8.14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ניסן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17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אפריל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2016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  </w:t>
      </w:r>
      <w:r>
        <w:rPr>
          <w:rFonts w:cs="FrankRuehl"/>
          <w:b/>
          <w:bCs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5795-07-14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רמאדן תורק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38.a.5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40jb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8.a.5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case/4118781" TargetMode="External"/><Relationship Id="rId15" Type="http://schemas.openxmlformats.org/officeDocument/2006/relationships/hyperlink" Target="http://www.nevo.co.il/case/5950172" TargetMode="External"/><Relationship Id="rId16" Type="http://schemas.openxmlformats.org/officeDocument/2006/relationships/hyperlink" Target="http://www.nevo.co.il/case/2584365" TargetMode="External"/><Relationship Id="rId17" Type="http://schemas.openxmlformats.org/officeDocument/2006/relationships/hyperlink" Target="http://www.nevo.co.il/case/5575978" TargetMode="External"/><Relationship Id="rId18" Type="http://schemas.openxmlformats.org/officeDocument/2006/relationships/hyperlink" Target="http://www.nevo.co.il/case/4853614" TargetMode="External"/><Relationship Id="rId19" Type="http://schemas.openxmlformats.org/officeDocument/2006/relationships/hyperlink" Target="http://www.nevo.co.il/case/5878682" TargetMode="External"/><Relationship Id="rId20" Type="http://schemas.openxmlformats.org/officeDocument/2006/relationships/hyperlink" Target="http://www.nevo.co.il/case/4118781" TargetMode="External"/><Relationship Id="rId21" Type="http://schemas.openxmlformats.org/officeDocument/2006/relationships/hyperlink" Target="http://www.nevo.co.il/case/17929065" TargetMode="External"/><Relationship Id="rId22" Type="http://schemas.openxmlformats.org/officeDocument/2006/relationships/hyperlink" Target="http://www.nevo.co.il/case/7671124" TargetMode="External"/><Relationship Id="rId23" Type="http://schemas.openxmlformats.org/officeDocument/2006/relationships/hyperlink" Target="http://www.nevo.co.il/case/6077814" TargetMode="External"/><Relationship Id="rId24" Type="http://schemas.openxmlformats.org/officeDocument/2006/relationships/hyperlink" Target="http://www.nevo.co.il/case/663402" TargetMode="External"/><Relationship Id="rId25" Type="http://schemas.openxmlformats.org/officeDocument/2006/relationships/hyperlink" Target="http://www.nevo.co.il/case/4691716" TargetMode="External"/><Relationship Id="rId26" Type="http://schemas.openxmlformats.org/officeDocument/2006/relationships/hyperlink" Target="http://www.nevo.co.il/case/13015506" TargetMode="External"/><Relationship Id="rId27" Type="http://schemas.openxmlformats.org/officeDocument/2006/relationships/hyperlink" Target="http://www.nevo.co.il/case/5578534" TargetMode="External"/><Relationship Id="rId28" Type="http://schemas.openxmlformats.org/officeDocument/2006/relationships/hyperlink" Target="http://www.nevo.co.il/case/5878682" TargetMode="External"/><Relationship Id="rId29" Type="http://schemas.openxmlformats.org/officeDocument/2006/relationships/hyperlink" Target="http://www.nevo.co.il/law/70301/40i.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jb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2020-04-16T10:49:00Z</dcterms:created>
  <dc:creator> </dc:creator>
  <dc:description/>
  <cp:keywords/>
  <dc:language>en-IL</dc:language>
  <cp:lastModifiedBy>hofit</cp:lastModifiedBy>
  <dcterms:modified xsi:type="dcterms:W3CDTF">2020-04-16T10:49:00Z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רמאדן תורק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ProcID=209&amp;PartA=7036&amp;PartC=08</vt:lpwstr>
  </property>
  <property fmtid="{D5CDD505-2E9C-101B-9397-08002B2CF9AE}" pid="9" name="CASENOTES2">
    <vt:lpwstr>ProcID=209&amp;PartA=6096&amp;PartC=07</vt:lpwstr>
  </property>
  <property fmtid="{D5CDD505-2E9C-101B-9397-08002B2CF9AE}" pid="10" name="CASESLISTTMP1">
    <vt:lpwstr>4118781:2;5950172;2584365;5575978;4853614;5878682:2;17929065;7671124;6077814;4691716;13015506;5578534</vt:lpwstr>
  </property>
  <property fmtid="{D5CDD505-2E9C-101B-9397-08002B2CF9AE}" pid="11" name="CITY">
    <vt:lpwstr>מרכז</vt:lpwstr>
  </property>
  <property fmtid="{D5CDD505-2E9C-101B-9397-08002B2CF9AE}" pid="12" name="DATE">
    <vt:lpwstr>20160417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מיכל ברנט</vt:lpwstr>
  </property>
  <property fmtid="{D5CDD505-2E9C-101B-9397-08002B2CF9AE}" pid="16" name="LAWLISTTMP1">
    <vt:lpwstr>70301/144.b;338.a.5;192;340a;040i.5;40jb</vt:lpwstr>
  </property>
  <property fmtid="{D5CDD505-2E9C-101B-9397-08002B2CF9AE}" pid="17" name="LAWYER">
    <vt:lpwstr>נעמה טל;סתיו שורצברג ;ניר רהט 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5795</vt:lpwstr>
  </property>
  <property fmtid="{D5CDD505-2E9C-101B-9397-08002B2CF9AE}" pid="24" name="NEWPARTB">
    <vt:lpwstr>07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390020160417</vt:lpwstr>
  </property>
  <property fmtid="{D5CDD505-2E9C-101B-9397-08002B2CF9AE}" pid="36" name="TYPE_N_DATE">
    <vt:lpwstr>39020160417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