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57965-03-15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אגבריה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וינשטיין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אגבריה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ביום </w:t>
      </w:r>
      <w:r>
        <w:rPr>
          <w:rFonts w:cs="Arial" w:ascii="Arial" w:hAnsi="Arial"/>
        </w:rPr>
        <w:t>16.6.15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הסדר טיעון אליו הגיעו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בקשה שהוגשה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 הסכימה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צורף לכתב האישום המתוקן כתב אישום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 נגד הנאשם לבית משפט השלום בחדרה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40647-02-15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כתב האישום הנוסף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בעקבות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 לתיק בית המשפט כתב אישום 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בשנית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כתב האישום המתוקן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והצדדים הגיעו ביחס אליו להסדר טיעון לפיו הודה הנאשם בעובדות כתב האישום המתוקן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הנאשם הורשע אפוא ביום </w:t>
      </w:r>
      <w:r>
        <w:rPr>
          <w:rFonts w:cs="Arial" w:ascii="Arial" w:hAnsi="Arial"/>
        </w:rPr>
        <w:t>10.9.15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נשוא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);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החזקת אגרופן או סכין למטרה לא כשרה – עבירה לפי </w:t>
      </w:r>
      <w:hyperlink r:id="rId1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186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איומים – עבירה לפי </w:t>
      </w:r>
      <w:hyperlink r:id="rId1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לא הגיעו להסדר ביניהם לעניין העונש</w:t>
      </w:r>
      <w:r>
        <w:rPr>
          <w:rFonts w:cs="Arial" w:ascii="Arial" w:hAnsi="Arial"/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בעניינו של הנאשם הוגש ביום </w:t>
      </w:r>
      <w:r>
        <w:rPr>
          <w:rFonts w:cs="Arial" w:ascii="Arial" w:hAnsi="Arial"/>
        </w:rPr>
        <w:t>16.7.15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צירוף כתב האישום הנוסף הוריתי על הגשת תסקיר משלים אשר הוגש לתיק בית המשפט ביום </w:t>
      </w:r>
      <w:r>
        <w:rPr>
          <w:rFonts w:cs="Arial" w:ascii="Arial" w:hAnsi="Arial"/>
        </w:rPr>
        <w:t>22.10.15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טיעוני הצדדים לעניין העונש נשמעו ביום </w:t>
      </w:r>
      <w:r>
        <w:rPr>
          <w:rFonts w:cs="Arial" w:ascii="Arial" w:hAnsi="Arial"/>
        </w:rPr>
        <w:t>26.10.15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נקבע מועד נפרד לדיון בבקשת המאשימה לחילוט הרכב שבבעלות הנאשם וששימש אותו בביצוע העבירה נשוא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4.11.15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4.11.15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הודיעה המאשימה כי נוכח נתוניו הייחודיים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הינו נכה ומרותק לכיסא גלגלים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נסיבות נוספות הקשורות לחובות כספיים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לביטוח הלאומי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חוזרת היא מבקשתה להורות על חילוט רכבו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על ידי צו המורה על שחרור רכבו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נותר אפוא לגזור את דינו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52-218-69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פאוץ</w:t>
      </w:r>
      <w:r>
        <w:rPr>
          <w:rtl w:val="true"/>
        </w:rPr>
        <w:t xml:space="preserve">'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10.11.14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מרכנתיל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</w:t>
      </w:r>
      <w:r>
        <w:rPr>
          <w:rtl w:val="true"/>
        </w:rPr>
        <w:t xml:space="preserve">.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הבנק</w:t>
      </w:r>
      <w:r>
        <w:rPr>
          <w:rtl w:val="true"/>
        </w:rPr>
        <w:t xml:space="preserve">)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אגאבריה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השומר</w:t>
      </w:r>
      <w:r>
        <w:rPr>
          <w:rtl w:val="true"/>
        </w:rPr>
        <w:t xml:space="preserve">)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השתלטו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מתקבעות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תצלום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16.12.14</w:t>
      </w:r>
      <w:r>
        <w:rPr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המתקיים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מגובה</w:t>
      </w:r>
      <w:r>
        <w:rPr>
          <w:rtl w:val="true"/>
        </w:rPr>
        <w:t xml:space="preserve">,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ולריתוקו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כאידיאלי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ההתרועעות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Fonts w:ascii="Arial" w:hAnsi="Arial" w:cs="Arial"/>
          <w:rtl w:val="true"/>
        </w:rPr>
        <w:t>אליהם צורפה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הוסיפה באת כוח המאשימה וטענה בעל 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את הסיכון הרב הטמון בעבירות נשק ואת הפגיעה בערך החברתי של שלום הציבור וביטחונו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פירטה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עמדת הפסיקה באשר לחשיבות של הטלת עונשים מרתיעים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העדפת האינטרס הציבורי על פני נסיבות אישיות של 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הדגישה כי העונש החמור הקיים לצד עבירות נשק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)  </w:t>
      </w:r>
      <w:r>
        <w:rPr>
          <w:rFonts w:ascii="Arial" w:hAnsi="Arial" w:cs="Arial"/>
          <w:rtl w:val="true"/>
        </w:rPr>
        <w:t>נקבע מחמת שמדובר בעבירות הטומנות פוטנציאל למסוכנות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לדעת מתי תתממש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באיזו עוצמה ומה יהיה מספר הנפגעים החפים מפשע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על אף שהנאשם נעדר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שנשקפת מסוכנות רבה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 ניתן ללמוד משני האישומים המיוחסים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שאירעו במהלך תקופה של 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הכוללים נשיאת נשק חם עם מחסנית וכמות גדולה של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החזקת שני סכינים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שאינו מתכוון לעשות שימוש בנשק – אינו צריך להחזיק כמות כה גדולה של תחמושת כמתואר בכתב האישום המתוקן בשנית וכן שני סכינים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טוענת כי מדובר בשני אירועים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לקבוע מתחם ענישה מחמיר בשים לב לעובדה כי הנאשם הינו המבצע העיקרי של העבירות וביצען 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שמדובר בעבירות שהנזק הצפוי מביצוען הינו רב והסיכון לשלום הציבור ובטחונו הינו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לעובדה כי לנאשם לא היתה סיבה לבצע את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מסוגל היה להבין את הפסול במעשיו ויכול היה להימנע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היתה לו כל מצוקה נפשית או קרבה לסייג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לממצאי התסקיר ומסקנותיו ועוד ציינה כי הנאשם ביצע את העבירות על אף מצבו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לשיטתה אין להתחשב בו מבחינת הענישה בשל מצבו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18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עמדת המאשימה היא כי מתחם הענישה ההולם ביחס לעבירה של נשיאת הנשק הוא בין שנתיים לארבע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ובגין העבירות של החזקת סכין שלא למטרה כשרה ואיומים –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ביקשה המאשימה כי יוטל על הנאשם מאסר מותנה מרתיע וקנס כספי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את טיעוניו 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מציין כי אינו מקל ראש בחומרת העבירות נשוא כתב האישום המתוקן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לגישת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העובדה כי העבירות בוצעו בסמיכות ובשלב בו הוא היה מצוי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צומת בחייו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לאור האפשרות שנפתחה לו לטיפול בנכותו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מעידות דווקא על כך כי עקב מצוקה וקושי ביצע את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לעבירת האיומים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האיומים הופנו על ידי הנאשם כלפי עצמו וכי העבירה בוצעה רק מחמת שהנאשם סבר שכספו ירד לטמיון ועמו תקוותו לשיקום מצבו הבריאותי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 כי הנאשם רכש את הנשק לצרכי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שנשא על גופו את הכסף שהוציא בשלב מאוחר יותר מהבנק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לגישתו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העבירות הינן בדרגת חומרה נמוכה וכי קיימות נסיבות מקלות בשים לב לעובדה כי רצה הנאשם להגיע לטיפול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ולכן רצה למשוך כספו מהבנק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והעיקול שהוטל על הכספים ניפץ את תקוותיו ולאחר מכן חשש מגניבת הכספים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לטענות אלו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בהן משום חריגה מעובדות כתב האישום המתוקן בשנית – התנגדה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את העדר עבר פלילי קודם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האפקט המרתיע שהיה למעצר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הדבר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טען כי הנאשם התחרט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כבר כשנעצר ליד גדר המערכת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והתנהגותו במעצר היתה מצוינת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התייצבותו לדיונים לאחר ששוחרר למעצר 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כי אחרוג ממתחם הענישה המקובל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מקרהו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לעובדה כי שהה כארבעה חודשים במעצר וכן בשים לב לעובדה כי גם במהלך שהותו במעצר בית לא היו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חלונות התאווררות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שיכול היה לנצלן  מחמת שרכבו היה מחולט ולא היה מסוגל להתנייד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הפנה לפסיקה בה נגזרו עונשי מאסר בפועל שנעו בין מספר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חודשי מאסר שניתן לרצותם בעבודות שירות ועד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כי בית המשפט יסתפק בתקופה ששהה הנאשם במעצר ובמעצר 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מטעמו של הנאשם העיד גיסו של הנאשם אשר ביקש את התחשבות בית המשפט בשל מצבו הבריאותי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מדובר באדם טוב 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גרם נזק לאחר מעולם ואהוב על סביבתו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לנאשם ניתנה זכות המילה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ביקש סליחה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בטעותו וביקש את רחמיי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שעניינו הבניית שיקול הדעת השיפוטי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hyperlink r:id="rId22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העיקרון המנחה בענישה – הוא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נדרש כי יתקיים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300"/>
        <w:ind w:start="720" w:end="0"/>
        <w:jc w:val="both"/>
        <w:rPr/>
      </w:pP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hyperlink r:id="rId2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רשימה של 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בהתקיימן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בהתקיים חלק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להשפיע על קביעת חומרת מעשה העבירה ועל אשמו של הנאשם ובכך על קביעת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ברשימה זו נכללת הנסיבה של תכנון שקדם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היחסי של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שהיה צפוי להיגרם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 שנגרם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הסיבות שהביאו את הנאשם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להבין את אשר הוא 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יכולתו של הנאשם להימנע ממעשה העבירה ומידת השליטה שלו על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והקרבה לסייג של אחריות פלילית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hyperlink r:id="rId2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</w:hyperlink>
      <w:r>
        <w:rPr>
          <w:rFonts w:ascii="Arial" w:hAnsi="Arial" w:cs="Arial"/>
          <w:rtl w:val="true"/>
        </w:rPr>
        <w:t xml:space="preserve"> 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מתייחס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לפיהן ייקבע עונשו הספציפי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נסיבות אלו נמנות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של פגיעת העונש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בשל 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העונש בבני משפחתו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 על ידי הנאשם על מעשיו וחזרתו למוטב או מאמציו לחזור למוטב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שיתוף הפעולה עם רשויות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חיים קשות של הנאשם שהיתה להן השפעה על ביצוע 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עברו הפלילי של הנאשם או העדר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חריגה ממתחם העונש ההולם – לקולא או לחומרא – אפשרית בנסיבות הקבועות </w:t>
      </w:r>
      <w:hyperlink r:id="rId29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</w:hyperlink>
      <w:r>
        <w:rPr>
          <w:rFonts w:ascii="Arial" w:hAnsi="Arial" w:cs="Arial"/>
          <w:rtl w:val="true"/>
        </w:rPr>
        <w:t xml:space="preserve"> 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 שיקום</w:t>
      </w:r>
      <w:r>
        <w:rPr>
          <w:rFonts w:cs="Arial" w:ascii="Arial" w:hAnsi="Arial"/>
          <w:rtl w:val="true"/>
        </w:rPr>
        <w:t xml:space="preserve">, </w:t>
      </w:r>
      <w:hyperlink r:id="rId31">
        <w:r>
          <w:rPr>
            <w:rStyle w:val="Hyperlink"/>
            <w:rFonts w:ascii="Arial" w:hAnsi="Arial" w:cs="Arial"/>
            <w:rtl w:val="true"/>
          </w:rPr>
          <w:t>ובסעיף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משיקולים של הגנה על 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השלב הראשון במלאכתו של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בקביעה האם הרשעת הנאשם במספר עבירות מהווה אירוע אחד או 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ביחס אליהם נדרשת קביעה של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מכן יקבע בית המשפט את מתחם העונש בהתאם לעקרון ההלימה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האחרון יתייחס בית המשפט לנסיבות שאינן קשורות לעבירה ולנסיבות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לנסיבות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המאשימה כי עסקינן בשני אירועים נפרדים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טען בעניין זה כל טענה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יכולה להיות מחלוקת כי במקרה הנדון מדובר בשני אירועים נפרדים – הראשון שבהם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מבחינת סדר הזמנים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אירוע האיומים והחזקת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 – נשיאת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בשתי עבירות שלא נעשו 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קיימת סמיכות זמנים סבירה ביניהן ועל פני הדברים הן אינן מהוות בצוותא רצף של 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אף לא מתקיים ביניהם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קשר 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כפי שנפסק על ידי כבוד השופטת דפנה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ארז בעניין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Cs/>
          <w:u w:val="single"/>
          <w:rtl w:val="true"/>
        </w:rPr>
        <w:t>ג</w:t>
      </w:r>
      <w:r>
        <w:rPr>
          <w:bCs/>
          <w:u w:val="single"/>
          <w:rtl w:val="true"/>
        </w:rPr>
        <w:t>'</w:t>
      </w:r>
      <w:r>
        <w:rPr>
          <w:bCs/>
          <w:u w:val="single"/>
          <w:rtl w:val="true"/>
        </w:rPr>
        <w:t>אבר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נ</w:t>
      </w:r>
      <w:r>
        <w:rPr>
          <w:bCs/>
          <w:u w:val="single"/>
          <w:rtl w:val="true"/>
        </w:rPr>
        <w:t xml:space="preserve">' </w:t>
      </w:r>
      <w:r>
        <w:rPr>
          <w:bCs/>
          <w:u w:val="single"/>
          <w:rtl w:val="true"/>
        </w:rPr>
        <w:t>מדינת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/>
        <w:t>29.10.2014</w:t>
      </w:r>
      <w:r>
        <w:rPr>
          <w:rtl w:val="true"/>
        </w:rPr>
        <w:t xml:space="preserve"> 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ובעניין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אברהם אלחיאני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24.8.15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להוראות </w:t>
      </w:r>
      <w:hyperlink r:id="rId3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יג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ייקבע במסגרת גזר דין זה מתחם ענישה 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ניתן לגזור עונש נפרד לכל אירוע או עונש כולל לאירועים כולם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ראו לעניין זה</w:t>
      </w:r>
      <w:r>
        <w:rPr>
          <w:rFonts w:cs="Arial" w:ascii="Arial" w:hAnsi="Arial"/>
          <w:rtl w:val="true"/>
        </w:rPr>
        <w:t xml:space="preserve">: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8641/12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מוחמד סעד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5.8.13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העבירה של נשיאת הנשק – קביעת מתחם העונש ההולם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הערך החברתי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מוגן באמצעות האיסור המוטל 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על נשיאת והחזקת נשק 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הערך של הגנה על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בסיכון ממשי לפגיעה בערך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מחמת העובדה כי לא ניתן לדעת לידיו של מי יגיעו כלי נשק המוחזקים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מועברים ללא פיקוח ומה השימוש שיעשה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עשוי להביא לתוצאות קשות והרות גורל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ראו לעניין זה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כוויס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</w:rPr>
        <w:t>25.6.13</w:t>
      </w:r>
      <w:r>
        <w:rPr>
          <w:rFonts w:cs="Arial" w:ascii="Arial" w:hAnsi="Arial"/>
          <w:rtl w:val="true"/>
        </w:rPr>
        <w:t xml:space="preserve">];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וכן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5833/07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ורי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", </w:t>
      </w:r>
      <w:r>
        <w:rPr>
          <w:rFonts w:cs="Arial" w:ascii="Arial" w:hAnsi="Arial"/>
        </w:rPr>
        <w:t>18.11.2007</w:t>
      </w:r>
      <w:r>
        <w:rPr>
          <w:rFonts w:cs="Arial" w:ascii="Arial" w:hAnsi="Arial"/>
          <w:rtl w:val="true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autoSpaceDE w:val="false"/>
        <w:spacing w:lineRule="auto" w:line="360" w:before="0" w:after="80"/>
        <w:ind w:hanging="720" w:start="720" w:end="0"/>
        <w:jc w:val="both"/>
        <w:rPr/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tl w:val="true"/>
        </w:rPr>
        <w:t xml:space="preserve">, </w:t>
      </w:r>
      <w:r>
        <w:rPr>
          <w:rtl w:val="true"/>
        </w:rPr>
        <w:t>עדתית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;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tl w:val="true"/>
        </w:rPr>
        <w:t xml:space="preserve">;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Hyperlink"/>
        </w:rPr>
      </w:pP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נבו</w:t>
      </w:r>
      <w:r>
        <w:rPr>
          <w:color w:val="000000"/>
          <w:rtl w:val="true"/>
        </w:rPr>
        <w:t xml:space="preserve">" </w:t>
      </w:r>
      <w:r>
        <w:rPr>
          <w:color w:val="000000"/>
        </w:rPr>
        <w:t>16.8.82</w:t>
      </w:r>
      <w:r>
        <w:rPr>
          <w:color w:val="000000"/>
          <w:rtl w:val="true"/>
        </w:rPr>
        <w:t>];</w:t>
      </w:r>
    </w:p>
    <w:p>
      <w:pPr>
        <w:pStyle w:val="Normal"/>
        <w:spacing w:lineRule="auto" w:line="360"/>
        <w:ind w:start="720" w:end="0"/>
        <w:jc w:val="both"/>
        <w:rPr/>
      </w:pPr>
      <w:hyperlink r:id="rId42">
        <w:r>
          <w:rPr>
            <w:rStyle w:val="Hyperlink"/>
            <w:rFonts w:ascii="Arial" w:hAnsi="Arial" w:cs="Arial"/>
            <w:color w:val="0000FF"/>
            <w:sz w:val="20"/>
            <w:sz w:val="20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u w:val="single"/>
          </w:rPr>
          <w:t>9126/04</w:t>
        </w:r>
      </w:hyperlink>
      <w:r>
        <w:rPr>
          <w:rFonts w:cs="Arial" w:ascii="Arial" w:hAnsi="Arial"/>
          <w:color w:val="000000"/>
          <w:sz w:val="2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sz w:val="20"/>
          <w:sz w:val="20"/>
          <w:rtl w:val="true"/>
        </w:rPr>
        <w:t>עבדאללה חוסייני נ</w:t>
      </w:r>
      <w:r>
        <w:rPr>
          <w:rFonts w:cs="Arial" w:ascii="Arial" w:hAnsi="Arial"/>
          <w:b/>
          <w:bCs/>
          <w:color w:val="000000"/>
          <w:sz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sz w:val="20"/>
          <w:sz w:val="20"/>
          <w:rtl w:val="true"/>
        </w:rPr>
        <w:t>מדינת ישראל</w:t>
      </w:r>
      <w:r>
        <w:rPr>
          <w:rFonts w:cs="Arial" w:ascii="Arial" w:hAnsi="Arial"/>
          <w:color w:val="000000"/>
          <w:sz w:val="20"/>
          <w:rtl w:val="true"/>
        </w:rPr>
        <w:t xml:space="preserve">, </w:t>
      </w:r>
      <w:r>
        <w:rPr>
          <w:rFonts w:ascii="Arial" w:hAnsi="Arial" w:cs="Arial"/>
          <w:color w:val="000000"/>
          <w:sz w:val="20"/>
          <w:sz w:val="20"/>
          <w:rtl w:val="true"/>
        </w:rPr>
        <w:t>תק</w:t>
      </w:r>
      <w:r>
        <w:rPr>
          <w:rFonts w:cs="Arial" w:ascii="Arial" w:hAnsi="Arial"/>
          <w:color w:val="000000"/>
          <w:sz w:val="20"/>
          <w:rtl w:val="true"/>
        </w:rPr>
        <w:t>-</w:t>
      </w:r>
      <w:r>
        <w:rPr>
          <w:rFonts w:ascii="Arial" w:hAnsi="Arial" w:cs="Arial"/>
          <w:color w:val="000000"/>
          <w:sz w:val="20"/>
          <w:sz w:val="20"/>
          <w:rtl w:val="true"/>
        </w:rPr>
        <w:t xml:space="preserve">על </w:t>
      </w:r>
      <w:r>
        <w:rPr>
          <w:rFonts w:cs="Arial" w:ascii="Arial" w:hAnsi="Arial"/>
          <w:color w:val="000000"/>
          <w:sz w:val="20"/>
        </w:rPr>
        <w:t>2004</w:t>
      </w:r>
      <w:r>
        <w:rPr>
          <w:rFonts w:cs="Arial" w:ascii="Arial" w:hAnsi="Arial"/>
          <w:color w:val="000000"/>
          <w:sz w:val="20"/>
          <w:rtl w:val="true"/>
        </w:rPr>
        <w:t>(</w:t>
      </w:r>
      <w:r>
        <w:rPr>
          <w:rFonts w:cs="Arial" w:ascii="Arial" w:hAnsi="Arial"/>
          <w:color w:val="000000"/>
          <w:sz w:val="20"/>
        </w:rPr>
        <w:t>4</w:t>
      </w:r>
      <w:r>
        <w:rPr>
          <w:rFonts w:cs="Arial" w:ascii="Arial" w:hAnsi="Arial"/>
          <w:color w:val="000000"/>
          <w:sz w:val="20"/>
          <w:rtl w:val="true"/>
        </w:rPr>
        <w:t xml:space="preserve">), </w:t>
      </w:r>
      <w:r>
        <w:rPr>
          <w:rFonts w:cs="Arial" w:ascii="Arial" w:hAnsi="Arial"/>
          <w:color w:val="000000"/>
          <w:sz w:val="20"/>
        </w:rPr>
        <w:t>715</w:t>
      </w:r>
      <w:r>
        <w:rPr>
          <w:rFonts w:cs="Arial" w:ascii="Arial" w:hAnsi="Arial"/>
          <w:color w:val="000000"/>
          <w:sz w:val="20"/>
          <w:rtl w:val="true"/>
        </w:rPr>
        <w:t xml:space="preserve"> , </w:t>
      </w:r>
      <w:r>
        <w:rPr>
          <w:rFonts w:cs="Arial" w:ascii="Arial" w:hAnsi="Arial"/>
          <w:color w:val="000000"/>
          <w:sz w:val="20"/>
        </w:rPr>
        <w:t>717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cs="Arial" w:ascii="Arial" w:hAnsi="Arial"/>
          <w:rtl w:val="true"/>
        </w:rPr>
        <w:tab/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רך חסן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>, [</w:t>
      </w:r>
      <w:r>
        <w:rPr>
          <w:rFonts w:ascii="Arial" w:hAnsi="Arial" w:cs="Arial"/>
          <w:rtl w:val="true"/>
        </w:rPr>
        <w:t>פורסם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</w:rPr>
        <w:t>5.6.13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שם נקבע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rtl w:val="true"/>
        </w:rPr>
      </w:r>
    </w:p>
    <w:p>
      <w:pPr>
        <w:pStyle w:val="Ruller42"/>
        <w:ind w:hanging="1440" w:start="144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ההולם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שיקבע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בהתאם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שהרי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ההיקף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נסחר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הוחזק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הובל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וכיוצא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שקובעים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הנזק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בעשרות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מטעני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המכילים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עשרות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קילוגרמים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נפץ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שקול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מבחינה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גמולית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לסחר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ברימון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בודד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חידוש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בקביעה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מדרג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הנקבע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השאר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Arial TUR"/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  <w:tab/>
      </w:r>
    </w:p>
    <w:p>
      <w:pPr>
        <w:pStyle w:val="Normal"/>
        <w:overflowPunct w:val="false"/>
        <w:autoSpaceDE w:val="false"/>
        <w:ind w:start="1642" w:end="1282"/>
        <w:jc w:val="both"/>
        <w:rPr>
          <w:b/>
          <w:bCs/>
          <w:spacing w:val="10"/>
        </w:rPr>
      </w:pP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כבר נאמר לא אחת בפסיקתנו כי מידת העונש המוטל בגין עבירות המבוצעות בנשק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בבוא בית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rtl w:val="true"/>
        </w:rPr>
        <w:t>בין היתר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ייתן בית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המשפט דעתו על סוג הנשק המוחזק שלא כדין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על כמותו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 xml:space="preserve">על התכלית שלשמה הוא מוחזק ועל הסכנה המוחשית שיעשה בו שימוש </w:t>
      </w:r>
      <w:r>
        <w:rPr>
          <w:rFonts w:cs="Arial TUR" w:ascii="Arial TUR" w:hAnsi="Arial TUR"/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השוו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625/82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מחמוד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[</w:t>
      </w:r>
      <w:r>
        <w:rPr>
          <w:b/>
          <w:bCs/>
          <w:spacing w:val="10"/>
        </w:rPr>
        <w:t>1</w:t>
      </w:r>
      <w:r>
        <w:rPr>
          <w:b/>
          <w:bCs/>
          <w:spacing w:val="10"/>
          <w:rtl w:val="true"/>
        </w:rPr>
        <w:t>]).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 </w:t>
      </w:r>
      <w:r>
        <w:rPr>
          <w:rFonts w:ascii="Arial TUR" w:hAnsi="Arial TUR" w:cs="Arial TUR"/>
          <w:b/>
          <w:b/>
          <w:bCs/>
          <w:spacing w:val="10"/>
          <w:rtl w:val="true"/>
        </w:rPr>
        <w:t>כאשר מדובר בנשק שעל</w:t>
      </w:r>
      <w:r>
        <w:rPr>
          <w:rFonts w:cs="Arial TUR" w:ascii="Arial TUR" w:hAnsi="Arial TUR"/>
          <w:b/>
          <w:bCs/>
          <w:spacing w:val="10"/>
          <w:rtl w:val="true"/>
        </w:rPr>
        <w:t>-</w:t>
      </w:r>
      <w:r>
        <w:rPr>
          <w:rFonts w:ascii="Arial TUR" w:hAnsi="Arial TUR" w:cs="Arial TUR"/>
          <w:b/>
          <w:b/>
          <w:bCs/>
          <w:spacing w:val="10"/>
          <w:rtl w:val="true"/>
        </w:rPr>
        <w:t>פי טיבו אינו מיועד להגנה עצמית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וכל כולו נשק התקפי רב עוצמה אשר השימוש בו יכול להביא להרג ללא הבחנה</w:t>
      </w:r>
      <w:r>
        <w:rPr>
          <w:rFonts w:cs="Arial TUR" w:ascii="Arial TUR" w:hAnsi="Arial TUR"/>
          <w:b/>
          <w:bCs/>
          <w:spacing w:val="10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rtl w:val="true"/>
        </w:rPr>
        <w:t>יש בעבירת ההחזקה והנשיאה של אותו נשק חומרה מיוחדת</w:t>
      </w:r>
      <w:r>
        <w:rPr>
          <w:rFonts w:cs="Arial TUR" w:ascii="Arial TUR" w:hAnsi="Arial TUR"/>
          <w:b/>
          <w:bCs/>
          <w:spacing w:val="10"/>
          <w:rtl w:val="true"/>
        </w:rPr>
        <w:t>.</w:t>
      </w:r>
      <w:r>
        <w:rPr>
          <w:b/>
          <w:bCs/>
          <w:spacing w:val="10"/>
          <w:rtl w:val="true"/>
        </w:rPr>
        <w:t>" (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1332/04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פ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נח</w:t>
      </w:r>
      <w:r>
        <w:rPr>
          <w:b/>
          <w:bCs/>
          <w:spacing w:val="10"/>
          <w:rtl w:val="true"/>
        </w:rPr>
        <w:t>(</w:t>
      </w:r>
      <w:r>
        <w:rPr>
          <w:b/>
          <w:bCs/>
          <w:spacing w:val="10"/>
        </w:rPr>
        <w:t>5</w:t>
      </w:r>
      <w:r>
        <w:rPr>
          <w:b/>
          <w:bCs/>
          <w:spacing w:val="10"/>
          <w:rtl w:val="true"/>
        </w:rPr>
        <w:t xml:space="preserve">) </w:t>
      </w:r>
      <w:r>
        <w:rPr>
          <w:b/>
          <w:bCs/>
          <w:spacing w:val="10"/>
        </w:rPr>
        <w:t>541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spacing w:val="10"/>
        </w:rPr>
        <w:t>544</w:t>
      </w:r>
      <w:r>
        <w:rPr>
          <w:b/>
          <w:bCs/>
          <w:spacing w:val="10"/>
          <w:rtl w:val="true"/>
        </w:rPr>
        <w:t xml:space="preserve"> (</w:t>
      </w:r>
      <w:r>
        <w:rPr>
          <w:b/>
          <w:bCs/>
          <w:spacing w:val="10"/>
        </w:rPr>
        <w:t>2004</w:t>
      </w:r>
      <w:r>
        <w:rPr>
          <w:b/>
          <w:bCs/>
          <w:spacing w:val="10"/>
          <w:rtl w:val="true"/>
        </w:rPr>
        <w:t xml:space="preserve">); </w:t>
      </w:r>
      <w:r>
        <w:rPr>
          <w:b/>
          <w:b/>
          <w:bCs/>
          <w:spacing w:val="10"/>
          <w:rtl w:val="true"/>
        </w:rPr>
        <w:t>ראו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b/>
          <w:bCs/>
          <w:spacing w:val="10"/>
          <w:rtl w:val="true"/>
        </w:rPr>
        <w:t xml:space="preserve">: </w:t>
      </w:r>
      <w:hyperlink r:id="rId4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7384/07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ליזמי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Cs/>
          <w:spacing w:val="10"/>
          <w:rtl w:val="true"/>
        </w:rPr>
        <w:t>(</w:t>
      </w:r>
      <w:r>
        <w:rPr>
          <w:b/>
          <w:bCs/>
          <w:spacing w:val="10"/>
        </w:rPr>
        <w:t>6.3.08</w:t>
      </w:r>
      <w:r>
        <w:rPr>
          <w:b/>
          <w:bCs/>
          <w:spacing w:val="10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sz w:val="2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את הסיכון הפוטנציאלי הטמון בעבירות 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והעבירה של נשיאת נשק באופן ספציפי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הבהירה ההלכה הפסוקה פעם אחר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עסקינן במצב בו מטרת ההחזקה או הנשיאה של הנשק מצויה במדרג הקל יותר של קשת המצבים הנוגעים לנשיאת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נא ראו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אבו סנינה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10.8.06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התרחישים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עבירה זו מצדיקה השתת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בנאשם נעדר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שיש לתת משקל ניכר לאינטרס הציבורי וליצירת התרעה בקרב עבריינים בכוח מביצוע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ולהעדיפו על פני האינטרס האישי 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 ראו</w:t>
      </w:r>
      <w:r>
        <w:rPr>
          <w:rFonts w:cs="David" w:ascii="David" w:hAnsi="David"/>
          <w:rtl w:val="true"/>
        </w:rPr>
        <w:t xml:space="preserve">: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 דאחל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 xml:space="preserve">", </w:t>
      </w:r>
      <w:r>
        <w:rPr>
          <w:rFonts w:cs="David" w:ascii="David" w:hAnsi="David"/>
        </w:rPr>
        <w:t>29.3.04</w:t>
      </w:r>
      <w:r>
        <w:rPr>
          <w:rFonts w:cs="David" w:ascii="David" w:hAnsi="David"/>
          <w:rtl w:val="true"/>
        </w:rPr>
        <w:t>];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1281/05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מחאג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נה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</w:rPr>
        <w:t>9.2.05</w:t>
      </w:r>
      <w:r>
        <w:rPr>
          <w:rFonts w:cs="David" w:ascii="David" w:hAnsi="David"/>
          <w:rtl w:val="true"/>
        </w:rPr>
        <w:t>];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וכן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10376/05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ברהום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נבו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</w:rPr>
        <w:t>17.5.06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פאוץ</w:t>
      </w:r>
      <w:r>
        <w:rPr>
          <w:rtl w:val="true"/>
        </w:rPr>
        <w:t xml:space="preserve">'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23537-02-14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מואייד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 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>זיאד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אסמר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ריאן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/>
        <w:t>16.11.14</w:t>
      </w:r>
      <w:r>
        <w:rPr>
          <w:rtl w:val="true"/>
        </w:rPr>
        <w:t>];</w:t>
      </w:r>
    </w:p>
    <w:p>
      <w:pPr>
        <w:pStyle w:val="Normal"/>
        <w:spacing w:lineRule="auto" w:line="360"/>
        <w:ind w:start="720" w:end="0"/>
        <w:jc w:val="both"/>
        <w:rPr/>
      </w:pP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28889-07-14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תאיר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/>
        <w:t>21.9.14</w:t>
      </w:r>
      <w:r>
        <w:rPr>
          <w:rtl w:val="true"/>
        </w:rPr>
        <w:t>];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/>
        <w:t>19.2.13</w:t>
      </w:r>
      <w:r>
        <w:rPr>
          <w:rtl w:val="true"/>
        </w:rPr>
        <w:t>];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1.10.13</w:t>
      </w:r>
      <w:r>
        <w:rPr>
          <w:rtl w:val="true"/>
        </w:rPr>
        <w:t>].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עודתאללה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29.9.13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אעישה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14.7.13</w:t>
      </w:r>
      <w:r>
        <w:rPr>
          <w:rtl w:val="true"/>
        </w:rPr>
        <w:t xml:space="preserve">]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5.6.13</w:t>
      </w:r>
      <w:r>
        <w:rPr>
          <w:rtl w:val="true"/>
        </w:rPr>
        <w:t xml:space="preserve">]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textAlignment w:val="top"/>
        <w:rPr>
          <w:u w:val="single"/>
        </w:rPr>
      </w:pP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והאיומים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tl w:val="true"/>
        </w:rPr>
        <w:t xml:space="preserve">, </w:t>
      </w:r>
      <w:r>
        <w:rPr>
          <w:rtl w:val="true"/>
        </w:rPr>
        <w:t>בנכסיו</w:t>
      </w:r>
      <w:r>
        <w:rPr>
          <w:rtl w:val="true"/>
        </w:rPr>
        <w:t xml:space="preserve">,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tl w:val="true"/>
        </w:rPr>
        <w:t xml:space="preserve">, </w:t>
      </w:r>
      <w:r>
        <w:rPr>
          <w:rtl w:val="true"/>
        </w:rPr>
        <w:t>לשלוות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ליכטמן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373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הערך החברתי המוגן באמצעות האיסור המוטל ב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על החזקת אגרופן או סכין מחוץ לתחום ביתו או חצריו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הוכיח החזקתם למטרה כשרה – אף הוא הערך של הגנה על שלום הציבור 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7484/08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/>
        <w:t>22.12.09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Ruller42"/>
        <w:ind w:hanging="800" w:start="80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sz w:val="24"/>
          <w:szCs w:val="24"/>
          <w:rtl w:val="true"/>
        </w:rPr>
        <w:tab/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חשיבות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רבה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להעניק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לתכלית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עסקינן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נועדה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לסייע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במיגור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השלילית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שהביאה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עימה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הסכינאות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עמדה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פעמים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רבות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נשתפך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ונשתברו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קולמוסים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ומקלדות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בפסקי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ובתי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לעניין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David"/>
          <w:b/>
          <w:bCs/>
          <w:sz w:val="24"/>
          <w:szCs w:val="24"/>
          <w:rtl w:val="true"/>
        </w:rPr>
        <w:t xml:space="preserve">'.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יוצא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לרחוב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ובידו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בכיסו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ארנקו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מטפחתו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ועטו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היוצאים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לרחוב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וסכין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ירכו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דווקא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לקלף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הארץ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יוציאם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משלוותם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תישלף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וסגולתה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הטבועה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לשפיכות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דמים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וכדברי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חכמים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הברזל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מקצר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>'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ילקוט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שמעוני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פרשת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יתרו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)" (</w:t>
      </w:r>
      <w:hyperlink r:id="rId66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4"/>
            <w:szCs w:val="24"/>
            <w:u w:val="single"/>
          </w:rPr>
          <w:t>2047/07</w:t>
        </w:r>
      </w:hyperlink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הנוק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z w:val="24"/>
          <w:szCs w:val="24"/>
        </w:rPr>
        <w:t>4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לפסק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רובינשטיין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טרם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</w:rPr>
        <w:t>14.5.2007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)). "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Times New Roman" w:hAnsi="Times New Roman" w:cs="David"/>
          <w:b/>
          <w:bCs/>
          <w:spacing w:val="10"/>
          <w:sz w:val="24"/>
          <w:szCs w:val="24"/>
        </w:rPr>
      </w:pPr>
      <w:r>
        <w:rPr>
          <w:rFonts w:cs="David"/>
          <w:b/>
          <w:bCs/>
          <w:spacing w:val="10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800" w:start="800" w:end="0"/>
        <w:jc w:val="both"/>
        <w:rPr>
          <w:rStyle w:val="default"/>
          <w:rFonts w:eastAsia="Calibri" w:cs="Arial"/>
          <w:szCs w:val="22"/>
        </w:rPr>
      </w:pPr>
      <w:r>
        <w:rPr>
          <w:spacing w:val="10"/>
        </w:rPr>
        <w:t>48</w:t>
      </w:r>
      <w:r>
        <w:rPr>
          <w:spacing w:val="10"/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800" w:end="0"/>
        <w:jc w:val="both"/>
        <w:rPr>
          <w:rStyle w:val="default"/>
        </w:rPr>
      </w:pPr>
      <w:r>
        <w:rPr>
          <w:rStyle w:val="default"/>
          <w:rtl w:val="true"/>
        </w:rPr>
        <w:t>נא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 xml:space="preserve">: </w:t>
      </w:r>
      <w:hyperlink r:id="rId6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322/15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ג</w:t>
      </w:r>
      <w:r>
        <w:rPr>
          <w:rStyle w:val="default"/>
          <w:b/>
          <w:bCs/>
          <w:u w:val="single"/>
          <w:rtl w:val="true"/>
        </w:rPr>
        <w:t>'</w:t>
      </w:r>
      <w:r>
        <w:rPr>
          <w:rStyle w:val="default"/>
          <w:b/>
          <w:b/>
          <w:bCs/>
          <w:u w:val="single"/>
          <w:rtl w:val="true"/>
        </w:rPr>
        <w:t>אנח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נ</w:t>
      </w:r>
      <w:r>
        <w:rPr>
          <w:rStyle w:val="default"/>
          <w:b/>
          <w:bCs/>
          <w:u w:val="single"/>
          <w:rtl w:val="true"/>
        </w:rPr>
        <w:t xml:space="preserve">' </w:t>
      </w:r>
      <w:r>
        <w:rPr>
          <w:rStyle w:val="default"/>
          <w:b/>
          <w:b/>
          <w:bCs/>
          <w:u w:val="single"/>
          <w:rtl w:val="true"/>
        </w:rPr>
        <w:t>מדינת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  <w:rtl w:val="true"/>
        </w:rPr>
        <w:t>פורסם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נבו</w:t>
      </w:r>
      <w:r>
        <w:rPr>
          <w:rStyle w:val="default"/>
          <w:rtl w:val="true"/>
        </w:rPr>
        <w:t xml:space="preserve">" </w:t>
      </w:r>
      <w:r>
        <w:rPr>
          <w:rStyle w:val="default"/>
        </w:rPr>
        <w:t>22.1.15</w:t>
      </w:r>
      <w:r>
        <w:rPr>
          <w:rStyle w:val="default"/>
          <w:rtl w:val="true"/>
        </w:rPr>
        <w:t xml:space="preserve">];, </w:t>
      </w:r>
    </w:p>
    <w:p>
      <w:pPr>
        <w:pStyle w:val="Normal"/>
        <w:overflowPunct w:val="false"/>
        <w:autoSpaceDE w:val="false"/>
        <w:spacing w:lineRule="auto" w:line="360"/>
        <w:ind w:start="800" w:end="0"/>
        <w:jc w:val="both"/>
        <w:rPr>
          <w:rStyle w:val="default"/>
        </w:rPr>
      </w:pPr>
      <w:hyperlink r:id="rId6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31988-06-10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גטהון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נ</w:t>
      </w:r>
      <w:r>
        <w:rPr>
          <w:rStyle w:val="default"/>
          <w:b/>
          <w:bCs/>
          <w:u w:val="single"/>
          <w:rtl w:val="true"/>
        </w:rPr>
        <w:t xml:space="preserve">' </w:t>
      </w:r>
      <w:r>
        <w:rPr>
          <w:rStyle w:val="default"/>
          <w:b/>
          <w:b/>
          <w:bCs/>
          <w:u w:val="single"/>
          <w:rtl w:val="true"/>
        </w:rPr>
        <w:t>מדינת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  <w:rtl w:val="true"/>
        </w:rPr>
        <w:t>פורסם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נבו</w:t>
      </w:r>
      <w:r>
        <w:rPr>
          <w:rStyle w:val="default"/>
          <w:rtl w:val="true"/>
        </w:rPr>
        <w:t xml:space="preserve">" </w:t>
      </w:r>
      <w:r>
        <w:rPr>
          <w:rStyle w:val="default"/>
        </w:rPr>
        <w:t>28.10.10</w:t>
      </w:r>
      <w:r>
        <w:rPr>
          <w:rStyle w:val="default"/>
          <w:rtl w:val="true"/>
        </w:rPr>
        <w:t>];</w:t>
      </w:r>
    </w:p>
    <w:p>
      <w:pPr>
        <w:pStyle w:val="Normal"/>
        <w:overflowPunct w:val="false"/>
        <w:autoSpaceDE w:val="false"/>
        <w:spacing w:lineRule="auto" w:line="360"/>
        <w:ind w:start="800" w:end="0"/>
        <w:jc w:val="both"/>
        <w:rPr>
          <w:rStyle w:val="default"/>
        </w:rPr>
      </w:pPr>
      <w:hyperlink r:id="rId6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5644-10-10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מדינת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ישראל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נ</w:t>
      </w:r>
      <w:r>
        <w:rPr>
          <w:rStyle w:val="default"/>
          <w:b/>
          <w:bCs/>
          <w:u w:val="single"/>
          <w:rtl w:val="true"/>
        </w:rPr>
        <w:t xml:space="preserve">' </w:t>
      </w:r>
      <w:r>
        <w:rPr>
          <w:rStyle w:val="default"/>
          <w:b/>
          <w:b/>
          <w:bCs/>
          <w:u w:val="single"/>
          <w:rtl w:val="true"/>
        </w:rPr>
        <w:t>מסארווה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  <w:rtl w:val="true"/>
        </w:rPr>
        <w:t>פורסם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נבו</w:t>
      </w:r>
      <w:r>
        <w:rPr>
          <w:rStyle w:val="default"/>
          <w:rtl w:val="true"/>
        </w:rPr>
        <w:t xml:space="preserve">" </w:t>
      </w:r>
      <w:r>
        <w:rPr>
          <w:rStyle w:val="default"/>
        </w:rPr>
        <w:t>4.4.11</w:t>
      </w:r>
      <w:r>
        <w:rPr>
          <w:rStyle w:val="default"/>
          <w:rtl w:val="true"/>
        </w:rPr>
        <w:t>];</w:t>
      </w:r>
    </w:p>
    <w:p>
      <w:pPr>
        <w:pStyle w:val="Normal"/>
        <w:overflowPunct w:val="false"/>
        <w:autoSpaceDE w:val="false"/>
        <w:spacing w:lineRule="auto" w:line="360"/>
        <w:ind w:start="800" w:end="0"/>
        <w:jc w:val="both"/>
        <w:rPr>
          <w:rStyle w:val="default"/>
        </w:rPr>
      </w:pPr>
      <w:hyperlink r:id="rId7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31497-04-11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מדינת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ישראל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נ</w:t>
      </w:r>
      <w:r>
        <w:rPr>
          <w:rStyle w:val="default"/>
          <w:b/>
          <w:bCs/>
          <w:u w:val="single"/>
          <w:rtl w:val="true"/>
        </w:rPr>
        <w:t xml:space="preserve">' </w:t>
      </w:r>
      <w:r>
        <w:rPr>
          <w:rStyle w:val="default"/>
          <w:b/>
          <w:b/>
          <w:bCs/>
          <w:u w:val="single"/>
          <w:rtl w:val="true"/>
        </w:rPr>
        <w:t>חזן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  <w:rtl w:val="true"/>
        </w:rPr>
        <w:t>פורסם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נבו</w:t>
      </w:r>
      <w:r>
        <w:rPr>
          <w:rStyle w:val="default"/>
          <w:rtl w:val="true"/>
        </w:rPr>
        <w:t xml:space="preserve">" </w:t>
      </w:r>
      <w:r>
        <w:rPr>
          <w:rStyle w:val="default"/>
        </w:rPr>
        <w:t>14.7.14</w:t>
      </w:r>
      <w:r>
        <w:rPr>
          <w:rStyle w:val="default"/>
          <w:rtl w:val="true"/>
        </w:rPr>
        <w:t xml:space="preserve">]; </w:t>
      </w:r>
    </w:p>
    <w:p>
      <w:pPr>
        <w:pStyle w:val="Normal"/>
        <w:overflowPunct w:val="false"/>
        <w:autoSpaceDE w:val="false"/>
        <w:spacing w:lineRule="auto" w:line="360"/>
        <w:ind w:start="800" w:end="0"/>
        <w:jc w:val="both"/>
        <w:rPr>
          <w:rStyle w:val="default"/>
        </w:rPr>
      </w:pPr>
      <w:hyperlink r:id="rId7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נצ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4485-04-08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מדינת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ישראל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נ</w:t>
      </w:r>
      <w:r>
        <w:rPr>
          <w:rStyle w:val="default"/>
          <w:b/>
          <w:bCs/>
          <w:u w:val="single"/>
          <w:rtl w:val="true"/>
        </w:rPr>
        <w:t xml:space="preserve">' </w:t>
      </w:r>
      <w:r>
        <w:rPr>
          <w:rStyle w:val="default"/>
          <w:b/>
          <w:b/>
          <w:bCs/>
          <w:u w:val="single"/>
          <w:rtl w:val="true"/>
        </w:rPr>
        <w:t>קרסנופבצב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[</w:t>
      </w:r>
      <w:r>
        <w:rPr>
          <w:rStyle w:val="default"/>
          <w:rtl w:val="true"/>
        </w:rPr>
        <w:t>פורסם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נבו</w:t>
      </w:r>
      <w:r>
        <w:rPr>
          <w:rStyle w:val="default"/>
          <w:rtl w:val="true"/>
        </w:rPr>
        <w:t xml:space="preserve">" </w:t>
      </w:r>
      <w:r>
        <w:rPr>
          <w:rStyle w:val="default"/>
        </w:rPr>
        <w:t>13.1.10</w:t>
      </w:r>
      <w:r>
        <w:rPr>
          <w:rStyle w:val="default"/>
          <w:rtl w:val="true"/>
        </w:rPr>
        <w:t xml:space="preserve">]. 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Calibri" w:hAnsi="Calibri" w:cs="Calibri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Arial"/>
          <w:sz w:val="22"/>
          <w:szCs w:val="22"/>
        </w:rPr>
      </w:pPr>
      <w:hyperlink r:id="rId7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9704/06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גרמן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  <w:lang w:eastAsia="he-IL"/>
        </w:rPr>
        <w:t xml:space="preserve"> </w:t>
      </w:r>
      <w:r>
        <w:rPr/>
        <w:t>28.11.2006</w:t>
      </w:r>
      <w:r>
        <w:rPr>
          <w:rtl w:val="true"/>
        </w:rPr>
        <w:t xml:space="preserve">];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hyperlink r:id="rId7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חיפה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5922-06-12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11.7.2012</w:t>
      </w:r>
      <w:r>
        <w:rPr>
          <w:rtl w:val="true"/>
          <w:lang w:eastAsia="he-IL"/>
        </w:rPr>
        <w:t xml:space="preserve">];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hyperlink r:id="rId7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21596-08-11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סננס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/>
        <w:t>21.5.2012</w:t>
      </w:r>
      <w:r>
        <w:rPr>
          <w:rtl w:val="true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</w:t>
      </w:r>
      <w:r>
        <w:rPr>
          <w:rtl w:val="true"/>
        </w:rPr>
        <w:t xml:space="preserve">;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המעוקל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בשומר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15684-01-15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חוטובלי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 </w:t>
      </w:r>
      <w:r>
        <w:rPr/>
        <w:t>12.7.2015</w:t>
      </w:r>
      <w:r>
        <w:rPr>
          <w:rtl w:val="true"/>
        </w:rPr>
        <w:t xml:space="preserve">] ],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hanging="510" w:start="51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גזירת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עונשו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7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יא</w:t>
        </w:r>
      </w:hyperlink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Calibri" w:cs="David"/>
          <w:sz w:val="24"/>
          <w:szCs w:val="24"/>
        </w:rPr>
      </w:pPr>
      <w:r>
        <w:rPr>
          <w:rFonts w:eastAsia="Calibri"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51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בבואי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הודייתו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מוקדם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שהביאה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לחיסכון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בזמן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יקר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גיסו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לקחתי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22.3.15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15.7.15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מרותק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לסביבת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חלונות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ההתאווררות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שניתנו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ולהיותו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מרותק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לכיסא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גלגלים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לתקוותיו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שאפשר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ויביא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לשיפור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ולהמלצת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אינני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7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/>
            <w:sz w:val="24"/>
            <w:szCs w:val="24"/>
            <w:rtl w:val="true"/>
          </w:rPr>
          <w:t>'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7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Arial TUR" w:cs="Arial TUR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מאפשרת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53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תזכיר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שהופץ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לתיקון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8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סימן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'</w:t>
        </w:r>
        <w:r>
          <w:rPr>
            <w:rStyle w:val="Hyperlink"/>
            <w:rFonts w:cs="David"/>
            <w:sz w:val="24"/>
            <w:szCs w:val="24"/>
          </w:rPr>
          <w:t>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8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הבניית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השיפוטי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בהתקיים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חריגות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בעטיין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ועלולה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לעיוות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הנמנות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בתזכיר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מגבלות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בריאותיות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שלאחר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שבחנתי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תזכיר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התעוררו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דילמות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ביחס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נופלות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מסגרת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תזכיר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54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בריאותי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שדומני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התכלית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תזכיר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הקניית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שנסיבותיו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נכות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כשלעצמה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המורכבויות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8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7215-09-11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שלו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דוגמת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83"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1176/09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rFonts w:cs="David"/>
          <w:b/>
          <w:bCs/>
          <w:sz w:val="24"/>
          <w:szCs w:val="24"/>
          <w:u w:val="single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החריגה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נא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8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5956/13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אבו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נגמה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נבו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Cs w:val="24"/>
        </w:rPr>
        <w:t>28.11.13</w:t>
      </w:r>
      <w:r>
        <w:rPr>
          <w:rFonts w:cs="David"/>
          <w:sz w:val="24"/>
          <w:szCs w:val="24"/>
          <w:rtl w:val="true"/>
        </w:rPr>
        <w:t>].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8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40824-12-12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מריסי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[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נבו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Cs w:val="24"/>
        </w:rPr>
        <w:t>15.7.14</w:t>
      </w:r>
      <w:r>
        <w:rPr>
          <w:rFonts w:cs="David"/>
          <w:sz w:val="24"/>
          <w:szCs w:val="24"/>
          <w:rtl w:val="true"/>
        </w:rPr>
        <w:t>]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מלבצע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נשוא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55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שיתוף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הפעולה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המגמתי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והחלקי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ליטול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חיצוניים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להעדר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הנשקפת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ומהישנות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בסבירות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נעלמה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שצוינה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פועלים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2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30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300"/>
        <w:ind w:start="720"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>.</w:t>
      </w:r>
    </w:p>
    <w:p>
      <w:pPr>
        <w:pStyle w:val="Normal"/>
        <w:spacing w:lineRule="auto" w:line="360" w:before="0" w:after="300"/>
        <w:ind w:firstLine="720"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30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22.3.15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15.7.15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30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שהנאשם 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מהכלא עבירת איומים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אלימות מסוג עוון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1.12.15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מצבו הבריאותי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מתבקש שירות בתי הסוהר להציב את הנאשם במתקן כליאה שייתן מענה הולם ומתאים למצבו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הודעה לנאשם זכותו לערער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מוחמד רג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אגבריה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עינב איטסקו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גולד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עיכוב ביצוע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החלטה מצויה בפרוטוקול הדיון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וינשטיין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9"/>
      <w:footerReference w:type="default" r:id="rId9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57965-03-15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אגבריה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Ruller5">
    <w:name w:val="Ruller5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Ruller41">
    <w:name w:val="Ruller4 אלפביתי תו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Ruller43">
    <w:name w:val="Ruller4 אלפביתי"/>
    <w:basedOn w:val="Ruller42"/>
    <w:next w:val="Ruller42"/>
    <w:qFormat/>
    <w:pPr>
      <w:numPr>
        <w:ilvl w:val="0"/>
        <w:numId w:val="1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a1S" TargetMode="External"/><Relationship Id="rId14" Type="http://schemas.openxmlformats.org/officeDocument/2006/relationships/hyperlink" Target="http://www.nevo.co.il/case/20087402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86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/40c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d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e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13093721" TargetMode="External"/><Relationship Id="rId34" Type="http://schemas.openxmlformats.org/officeDocument/2006/relationships/hyperlink" Target="http://www.nevo.co.il/case/5569069" TargetMode="External"/><Relationship Id="rId35" Type="http://schemas.openxmlformats.org/officeDocument/2006/relationships/hyperlink" Target="http://www.nevo.co.il/law/70301/40jc.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73417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601503" TargetMode="External"/><Relationship Id="rId40" Type="http://schemas.openxmlformats.org/officeDocument/2006/relationships/hyperlink" Target="http://www.nevo.co.il/case/6034921" TargetMode="External"/><Relationship Id="rId41" Type="http://schemas.openxmlformats.org/officeDocument/2006/relationships/hyperlink" Target="http://www.nevo.co.il/case/17929065" TargetMode="External"/><Relationship Id="rId42" Type="http://schemas.openxmlformats.org/officeDocument/2006/relationships/hyperlink" Target="http://www.nevo.co.il/case/6145605" TargetMode="External"/><Relationship Id="rId43" Type="http://schemas.openxmlformats.org/officeDocument/2006/relationships/hyperlink" Target="http://www.nevo.co.il/case/6473037" TargetMode="External"/><Relationship Id="rId44" Type="http://schemas.openxmlformats.org/officeDocument/2006/relationships/hyperlink" Target="http://www.nevo.co.il/case/17929065" TargetMode="External"/><Relationship Id="rId45" Type="http://schemas.openxmlformats.org/officeDocument/2006/relationships/hyperlink" Target="http://www.nevo.co.il/case/6102612" TargetMode="External"/><Relationship Id="rId46" Type="http://schemas.openxmlformats.org/officeDocument/2006/relationships/hyperlink" Target="http://www.nevo.co.il/case/5887664" TargetMode="External"/><Relationship Id="rId47" Type="http://schemas.openxmlformats.org/officeDocument/2006/relationships/hyperlink" Target="http://www.nevo.co.il/case/5852404" TargetMode="External"/><Relationship Id="rId48" Type="http://schemas.openxmlformats.org/officeDocument/2006/relationships/hyperlink" Target="http://www.nevo.co.il/case/5758567" TargetMode="External"/><Relationship Id="rId49" Type="http://schemas.openxmlformats.org/officeDocument/2006/relationships/hyperlink" Target="http://www.nevo.co.il/case/6169310" TargetMode="External"/><Relationship Id="rId50" Type="http://schemas.openxmlformats.org/officeDocument/2006/relationships/hyperlink" Target="http://www.nevo.co.il/case/11312959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3019896" TargetMode="External"/><Relationship Id="rId54" Type="http://schemas.openxmlformats.org/officeDocument/2006/relationships/hyperlink" Target="http://www.nevo.co.il/case/17062417" TargetMode="External"/><Relationship Id="rId55" Type="http://schemas.openxmlformats.org/officeDocument/2006/relationships/hyperlink" Target="http://www.nevo.co.il/case/4552738" TargetMode="External"/><Relationship Id="rId56" Type="http://schemas.openxmlformats.org/officeDocument/2006/relationships/hyperlink" Target="http://www.nevo.co.il/case/7840699" TargetMode="External"/><Relationship Id="rId57" Type="http://schemas.openxmlformats.org/officeDocument/2006/relationships/hyperlink" Target="http://www.nevo.co.il/case/6949290" TargetMode="External"/><Relationship Id="rId58" Type="http://schemas.openxmlformats.org/officeDocument/2006/relationships/hyperlink" Target="http://www.nevo.co.il/case/6824952" TargetMode="External"/><Relationship Id="rId59" Type="http://schemas.openxmlformats.org/officeDocument/2006/relationships/hyperlink" Target="http://www.nevo.co.il/case/6473037" TargetMode="External"/><Relationship Id="rId60" Type="http://schemas.openxmlformats.org/officeDocument/2006/relationships/hyperlink" Target="http://www.nevo.co.il/law/70301/192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808394" TargetMode="External"/><Relationship Id="rId63" Type="http://schemas.openxmlformats.org/officeDocument/2006/relationships/hyperlink" Target="http://www.nevo.co.il/case/17944047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case/5670124" TargetMode="External"/><Relationship Id="rId66" Type="http://schemas.openxmlformats.org/officeDocument/2006/relationships/hyperlink" Target="http://www.nevo.co.il/case/5808647" TargetMode="External"/><Relationship Id="rId67" Type="http://schemas.openxmlformats.org/officeDocument/2006/relationships/hyperlink" Target="http://www.nevo.co.il/case/19999565" TargetMode="External"/><Relationship Id="rId68" Type="http://schemas.openxmlformats.org/officeDocument/2006/relationships/hyperlink" Target="http://www.nevo.co.il/case/4689289" TargetMode="External"/><Relationship Id="rId69" Type="http://schemas.openxmlformats.org/officeDocument/2006/relationships/hyperlink" Target="http://www.nevo.co.il/case/5096377" TargetMode="External"/><Relationship Id="rId70" Type="http://schemas.openxmlformats.org/officeDocument/2006/relationships/hyperlink" Target="http://www.nevo.co.il/case/2845157" TargetMode="External"/><Relationship Id="rId71" Type="http://schemas.openxmlformats.org/officeDocument/2006/relationships/hyperlink" Target="http://www.nevo.co.il/case/5023307" TargetMode="External"/><Relationship Id="rId72" Type="http://schemas.openxmlformats.org/officeDocument/2006/relationships/hyperlink" Target="http://www.nevo.co.il/case/6158269" TargetMode="External"/><Relationship Id="rId73" Type="http://schemas.openxmlformats.org/officeDocument/2006/relationships/hyperlink" Target="http://www.nevo.co.il/case/4335657" TargetMode="External"/><Relationship Id="rId74" Type="http://schemas.openxmlformats.org/officeDocument/2006/relationships/hyperlink" Target="http://www.nevo.co.il/case/3736799" TargetMode="External"/><Relationship Id="rId75" Type="http://schemas.openxmlformats.org/officeDocument/2006/relationships/hyperlink" Target="http://www.nevo.co.il/case/18801015" TargetMode="External"/><Relationship Id="rId76" Type="http://schemas.openxmlformats.org/officeDocument/2006/relationships/hyperlink" Target="http://www.nevo.co.il/law/70301/40ja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40d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a1S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2943207" TargetMode="External"/><Relationship Id="rId83" Type="http://schemas.openxmlformats.org/officeDocument/2006/relationships/hyperlink" Target="http://www.nevo.co.il/case/2419717" TargetMode="External"/><Relationship Id="rId84" Type="http://schemas.openxmlformats.org/officeDocument/2006/relationships/hyperlink" Target="http://www.nevo.co.il/case/7980155" TargetMode="External"/><Relationship Id="rId85" Type="http://schemas.openxmlformats.org/officeDocument/2006/relationships/hyperlink" Target="http://www.nevo.co.il/case/4116196" TargetMode="External"/><Relationship Id="rId86" Type="http://schemas.openxmlformats.org/officeDocument/2006/relationships/hyperlink" Target="http://www.nevo.co.il/law/70301/40jc.b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2022-09-11T11:29:00Z</dcterms:created>
  <dc:creator> </dc:creator>
  <dc:description/>
  <cp:keywords/>
  <dc:language>en-IL</dc:language>
  <cp:lastModifiedBy>h1</cp:lastModifiedBy>
  <dcterms:modified xsi:type="dcterms:W3CDTF">2022-09-11T11:29:00Z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אגבריה</vt:lpwstr>
  </property>
  <property fmtid="{D5CDD505-2E9C-101B-9397-08002B2CF9AE}" pid="4" name="CASESLISTTMP1">
    <vt:lpwstr>20087402;13093721;5569069;5573417;5601503;6034921;17929065:2;6145605;6473037:2;6102612;5887664;5852404;5758567;6169310;11312959;13019896;17062417;4552738;7840699;6949290;6824952;5808394;17944047;5670124;5808647;19999565;4689289;5096377;2845157;5023307</vt:lpwstr>
  </property>
  <property fmtid="{D5CDD505-2E9C-101B-9397-08002B2CF9AE}" pid="5" name="CASESLISTTMP2">
    <vt:lpwstr>6158269;4335657;3736799;18801015;2943207;2419717;7980155;4116196</vt:lpwstr>
  </property>
  <property fmtid="{D5CDD505-2E9C-101B-9397-08002B2CF9AE}" pid="6" name="CITY">
    <vt:lpwstr>חי'</vt:lpwstr>
  </property>
  <property fmtid="{D5CDD505-2E9C-101B-9397-08002B2CF9AE}" pid="7" name="DATE">
    <vt:lpwstr>20151115</vt:lpwstr>
  </property>
  <property fmtid="{D5CDD505-2E9C-101B-9397-08002B2CF9AE}" pid="8" name="ISABSTRACT">
    <vt:lpwstr>Y</vt:lpwstr>
  </property>
  <property fmtid="{D5CDD505-2E9C-101B-9397-08002B2CF9AE}" pid="9" name="JUDGE">
    <vt:lpwstr>אורית וינשטיין</vt:lpwstr>
  </property>
  <property fmtid="{D5CDD505-2E9C-101B-9397-08002B2CF9AE}" pid="10" name="LAWLISTTMP1">
    <vt:lpwstr>70301/144.b;186.a;192:2;040b;040c;040i;40ja:2;040d:2;040e;40jc.b:2;a1S</vt:lpwstr>
  </property>
  <property fmtid="{D5CDD505-2E9C-101B-9397-08002B2CF9AE}" pid="11" name="NEWPARTA">
    <vt:lpwstr>57965</vt:lpwstr>
  </property>
  <property fmtid="{D5CDD505-2E9C-101B-9397-08002B2CF9AE}" pid="12" name="NEWPARTB">
    <vt:lpwstr>03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390020151115</vt:lpwstr>
  </property>
  <property fmtid="{D5CDD505-2E9C-101B-9397-08002B2CF9AE}" pid="18" name="TYPE_N_DATE">
    <vt:lpwstr>39020151115</vt:lpwstr>
  </property>
  <property fmtid="{D5CDD505-2E9C-101B-9397-08002B2CF9AE}" pid="19" name="WORDNUMPAGES">
    <vt:lpwstr>17</vt:lpwstr>
  </property>
</Properties>
</file>