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58027-12-21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איסלם 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אכראמה 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שניהם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חיים שוורצברג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bookmarkStart w:id="8" w:name="ABSTRACT_START"/>
      <w:bookmarkEnd w:id="8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שני אחים</w:t>
      </w:r>
      <w:r>
        <w:rPr>
          <w:rtl w:val="true"/>
        </w:rPr>
        <w:t xml:space="preserve">, </w:t>
      </w:r>
      <w:r>
        <w:rPr>
          <w:rtl w:val="true"/>
        </w:rPr>
        <w:t>הורשעו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b/>
          <w:bCs/>
          <w:rtl w:val="true"/>
        </w:rPr>
        <w:t>-</w:t>
      </w:r>
      <w:r>
        <w:rPr>
          <w:rtl w:val="true"/>
        </w:rPr>
        <w:t xml:space="preserve">  </w:t>
      </w:r>
      <w:r>
        <w:rPr>
          <w:rtl w:val="true"/>
        </w:rPr>
        <w:t>בעבירת נשיאת נשק</w:t>
      </w:r>
      <w:r>
        <w:rPr>
          <w:rtl w:val="true"/>
        </w:rPr>
        <w:t xml:space="preserve">, </w:t>
      </w:r>
      <w:r>
        <w:rPr>
          <w:rtl w:val="true"/>
        </w:rPr>
        <w:t>אביזר ותחמושת בלא רשות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רישא וסיפא ל</w:t>
      </w:r>
      <w:hyperlink r:id="rId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ובעבירת ירי מנשק חם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לפי סעיף </w:t>
      </w:r>
      <w:hyperlink r:id="rId10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בעבירה של איומים </w:t>
      </w:r>
      <w:r>
        <w:rPr>
          <w:u w:val="single"/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9" w:name="ABSTRACT_END"/>
      <w:bookmarkEnd w:id="9"/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הנאשמים וא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 (</w:t>
      </w:r>
      <w:r>
        <w:rPr>
          <w:rtl w:val="true"/>
        </w:rPr>
        <w:t>שהוא המתלונן</w:t>
      </w:r>
      <w:r>
        <w:rPr>
          <w:rtl w:val="true"/>
        </w:rPr>
        <w:t xml:space="preserve">) </w:t>
      </w:r>
      <w:r>
        <w:rPr>
          <w:rtl w:val="true"/>
        </w:rPr>
        <w:t>מתגוררים בשכנות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15.12.21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18:00</w:t>
      </w:r>
      <w:r>
        <w:rPr>
          <w:rtl w:val="true"/>
        </w:rPr>
        <w:t xml:space="preserve">, </w:t>
      </w:r>
      <w:r>
        <w:rPr>
          <w:rtl w:val="true"/>
        </w:rPr>
        <w:t xml:space="preserve">החל ויכוח בין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לאחייניו של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ב 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ילידי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על רקע בקשתם ממנו להזיז את רכבו מהחנייה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סירב וניגש לרכבו והוציא מתוכו דלי ובתוכו פטיש והחל ללכת לכיוון ביתו וב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הלך אחריו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כשניגש ג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להרגיע את 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 xml:space="preserve">שלף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הפטיש מהדלי</w:t>
      </w:r>
      <w:r>
        <w:rPr>
          <w:rtl w:val="true"/>
        </w:rPr>
        <w:t xml:space="preserve">, </w:t>
      </w:r>
      <w:r>
        <w:rPr>
          <w:rtl w:val="true"/>
        </w:rPr>
        <w:t>אחז אותו בידו ואיים לפגוע בג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ואמר לו</w:t>
      </w:r>
      <w:r>
        <w:rPr>
          <w:rtl w:val="true"/>
        </w:rPr>
        <w:t>:"</w:t>
      </w:r>
      <w:r>
        <w:rPr>
          <w:rtl w:val="true"/>
        </w:rPr>
        <w:t>תזוז או שאני אפגע בך</w:t>
      </w:r>
      <w:r>
        <w:rPr>
          <w:rtl w:val="true"/>
        </w:rPr>
        <w:t xml:space="preserve">". </w:t>
      </w:r>
      <w:r>
        <w:rPr>
          <w:rtl w:val="true"/>
        </w:rPr>
        <w:t>לאחר זמן קצר הגיע המתלונן לביתו</w:t>
      </w:r>
      <w:r>
        <w:rPr>
          <w:rtl w:val="true"/>
        </w:rPr>
        <w:t xml:space="preserve">, </w:t>
      </w:r>
      <w:r>
        <w:rPr>
          <w:rtl w:val="true"/>
        </w:rPr>
        <w:t xml:space="preserve">למשמע הוויכוח </w:t>
      </w:r>
      <w:r>
        <w:rPr>
          <w:rtl w:val="true"/>
        </w:rPr>
        <w:t xml:space="preserve">, </w:t>
      </w:r>
      <w:r>
        <w:rPr>
          <w:rtl w:val="true"/>
        </w:rPr>
        <w:t xml:space="preserve">ניגש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ושוחח איתו כדי להרגיעו</w:t>
      </w:r>
      <w:r>
        <w:rPr>
          <w:rtl w:val="true"/>
        </w:rPr>
        <w:t xml:space="preserve">. </w:t>
      </w:r>
      <w:r>
        <w:rPr>
          <w:rtl w:val="true"/>
        </w:rPr>
        <w:t xml:space="preserve">בתגובה הניף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הפטיש באוויר לעברו</w:t>
      </w:r>
      <w:r>
        <w:rPr>
          <w:rtl w:val="true"/>
        </w:rPr>
        <w:t xml:space="preserve">, </w:t>
      </w:r>
      <w:r>
        <w:rPr>
          <w:rtl w:val="true"/>
        </w:rPr>
        <w:t>קילל אותו ואיים באמצעותו על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שנכח במקום</w:t>
      </w:r>
      <w:r>
        <w:rPr>
          <w:rtl w:val="true"/>
        </w:rPr>
        <w:t xml:space="preserve">, </w:t>
      </w:r>
      <w:r>
        <w:rPr>
          <w:rtl w:val="true"/>
        </w:rPr>
        <w:t>רץ לכיוון ביתו וצעק</w:t>
      </w:r>
      <w:r>
        <w:rPr>
          <w:rtl w:val="true"/>
        </w:rPr>
        <w:t>: "</w:t>
      </w:r>
      <w:r>
        <w:rPr>
          <w:rtl w:val="true"/>
        </w:rPr>
        <w:t>אני אראה לכם</w:t>
      </w:r>
      <w:r>
        <w:rPr>
          <w:rtl w:val="true"/>
        </w:rPr>
        <w:t xml:space="preserve">". </w:t>
      </w:r>
      <w:r>
        <w:rPr>
          <w:rtl w:val="true"/>
        </w:rPr>
        <w:t>כעבור זמן קצר</w:t>
      </w:r>
      <w:r>
        <w:rPr>
          <w:rtl w:val="true"/>
        </w:rPr>
        <w:t xml:space="preserve">, </w:t>
      </w:r>
      <w:r>
        <w:rPr>
          <w:rtl w:val="true"/>
        </w:rPr>
        <w:t xml:space="preserve">שב למקום כשהוא נושא נשק שסוגו אינו ידוע טעון בכדורים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אחז בו כלפי מעלה והחל לירות לעיני הנוכחים מספר יריות וזאת כדי להטיל מורא ופחד על המתלונן וג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ונמלט לתוך ביתו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>והנאשמים הופנו לתסקירי שירות מבחן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הצהירה המאשימה שתעתור לעונש מאסר ראוי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וביחס לנאשם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למאסר בן חודשיים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ההגנה חופשיה בטיעוניה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לתינוקת</w:t>
      </w:r>
      <w:r>
        <w:rPr>
          <w:rtl w:val="true"/>
        </w:rPr>
        <w:t xml:space="preserve">, </w:t>
      </w:r>
      <w:r>
        <w:rPr>
          <w:rtl w:val="true"/>
        </w:rPr>
        <w:t>עובד בתחום הבנייה</w:t>
      </w:r>
      <w:r>
        <w:rPr>
          <w:rtl w:val="true"/>
        </w:rPr>
        <w:t xml:space="preserve">, </w:t>
      </w:r>
      <w:r>
        <w:rPr>
          <w:rtl w:val="true"/>
        </w:rPr>
        <w:t>משלים לימודי תואר הנדסאי בניין</w:t>
      </w:r>
      <w:r>
        <w:rPr>
          <w:rtl w:val="true"/>
        </w:rPr>
        <w:t xml:space="preserve">. </w:t>
      </w:r>
      <w:r>
        <w:rPr>
          <w:rtl w:val="true"/>
        </w:rPr>
        <w:t>הנאשם נפגע בתאונת דרכים</w:t>
      </w:r>
      <w:r>
        <w:rPr>
          <w:rtl w:val="true"/>
        </w:rPr>
        <w:t xml:space="preserve">, </w:t>
      </w:r>
      <w:r>
        <w:rPr>
          <w:rtl w:val="true"/>
        </w:rPr>
        <w:t>וסובל מכאבים מתמשכים באזור האגן</w:t>
      </w:r>
      <w:r>
        <w:rPr>
          <w:rtl w:val="true"/>
        </w:rPr>
        <w:t xml:space="preserve">. </w:t>
      </w:r>
      <w:r>
        <w:rPr>
          <w:rtl w:val="true"/>
        </w:rPr>
        <w:t>הנאשם היה נתון בפיקוח מעצרים</w:t>
      </w:r>
      <w:r>
        <w:rPr>
          <w:rtl w:val="true"/>
        </w:rPr>
        <w:t xml:space="preserve">, </w:t>
      </w:r>
      <w:r>
        <w:rPr>
          <w:rtl w:val="true"/>
        </w:rPr>
        <w:t>שולב בקבוצה טיפולית אך התקשה להגיע באופן סדיר ולקדם התבוננות מעמיקה באשר לגורמי הסיכון במצבו</w:t>
      </w:r>
      <w:r>
        <w:rPr>
          <w:rtl w:val="true"/>
        </w:rPr>
        <w:t xml:space="preserve">, </w:t>
      </w:r>
      <w:r>
        <w:rPr>
          <w:rtl w:val="true"/>
        </w:rPr>
        <w:t>ובלטה נטייתו להשליך אחריות מצבו על גורמים חיצוניים</w:t>
      </w:r>
      <w:r>
        <w:rPr>
          <w:rtl w:val="true"/>
        </w:rPr>
        <w:t xml:space="preserve">, </w:t>
      </w:r>
      <w:r>
        <w:rPr>
          <w:rtl w:val="true"/>
        </w:rPr>
        <w:t>ובעיקר על אחיו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הנאשם טען כי בתקופת פיקוח המעצרים לא היה בשל רגשית לבחינת מצבו ולשילוב בטיפול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במסגרת האבחון הנוכחי</w:t>
      </w:r>
      <w:r>
        <w:rPr>
          <w:rtl w:val="true"/>
        </w:rPr>
        <w:t xml:space="preserve">, </w:t>
      </w:r>
      <w:r>
        <w:rPr>
          <w:rtl w:val="true"/>
        </w:rPr>
        <w:t>נטל אחריות חלקית על מעשיו והביע 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>נרדם והתעורר בבהילות מקולות הוויכוח בין אחיו לשכנים</w:t>
      </w:r>
      <w:r>
        <w:rPr>
          <w:rtl w:val="true"/>
        </w:rPr>
        <w:t xml:space="preserve">. </w:t>
      </w:r>
      <w:r>
        <w:rPr>
          <w:rtl w:val="true"/>
        </w:rPr>
        <w:t>הנאשם סיפר שאחיו נהג להתווכח עם שכניו בנוגע לחניות</w:t>
      </w:r>
      <w:r>
        <w:rPr>
          <w:rtl w:val="true"/>
        </w:rPr>
        <w:t xml:space="preserve">, </w:t>
      </w:r>
      <w:r>
        <w:rPr>
          <w:rtl w:val="true"/>
        </w:rPr>
        <w:t>ותיאר את התנהלותו הבעייתית מול השכנים אך שלל מעורבות בסכסוך</w:t>
      </w:r>
      <w:r>
        <w:rPr>
          <w:rtl w:val="true"/>
        </w:rPr>
        <w:t xml:space="preserve">. </w:t>
      </w:r>
      <w:r>
        <w:rPr>
          <w:rtl w:val="true"/>
        </w:rPr>
        <w:t>הנאשם חש תחושות לחץ וחרדה ודאגה למשפחתו</w:t>
      </w:r>
      <w:r>
        <w:rPr>
          <w:rtl w:val="true"/>
        </w:rPr>
        <w:t xml:space="preserve">, </w:t>
      </w:r>
      <w:r>
        <w:rPr>
          <w:rtl w:val="true"/>
        </w:rPr>
        <w:t>לדבריו אחיו מסר לו בבית כלי נשק</w:t>
      </w:r>
      <w:r>
        <w:rPr>
          <w:rtl w:val="true"/>
        </w:rPr>
        <w:t xml:space="preserve">, </w:t>
      </w:r>
      <w:r>
        <w:rPr>
          <w:rtl w:val="true"/>
        </w:rPr>
        <w:t>שבדיעבד הבין שהוא לא חוקי</w:t>
      </w:r>
      <w:r>
        <w:rPr>
          <w:rtl w:val="true"/>
        </w:rPr>
        <w:t xml:space="preserve">. </w:t>
      </w:r>
      <w:r>
        <w:rPr>
          <w:rtl w:val="true"/>
        </w:rPr>
        <w:t>הנאשם הביע הבנה לחומרת מעשיו</w:t>
      </w:r>
      <w:r>
        <w:rPr>
          <w:rtl w:val="true"/>
        </w:rPr>
        <w:t xml:space="preserve">,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תיאר עמדות מקלות בנוגע לשימוש בנשק</w:t>
      </w:r>
      <w:r>
        <w:rPr>
          <w:rtl w:val="true"/>
        </w:rPr>
        <w:t xml:space="preserve">. </w:t>
      </w:r>
      <w:r>
        <w:rPr>
          <w:rtl w:val="true"/>
        </w:rPr>
        <w:t>במהלך מעצרו</w:t>
      </w:r>
      <w:r>
        <w:rPr>
          <w:rtl w:val="true"/>
        </w:rPr>
        <w:t xml:space="preserve">, </w:t>
      </w:r>
      <w:r>
        <w:rPr>
          <w:rtl w:val="true"/>
        </w:rPr>
        <w:t>טען שנחתם הסכם סולחה בין משפחתו למשפחת השכנים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להתרשמות שירות המבחן מדובר בנאשם צעיר</w:t>
      </w:r>
      <w:r>
        <w:rPr>
          <w:rtl w:val="true"/>
        </w:rPr>
        <w:t xml:space="preserve">, </w:t>
      </w:r>
      <w:r>
        <w:rPr>
          <w:rtl w:val="true"/>
        </w:rPr>
        <w:t>שמנהל אורח חיים יציב</w:t>
      </w:r>
      <w:r>
        <w:rPr>
          <w:rtl w:val="true"/>
        </w:rPr>
        <w:t xml:space="preserve">, </w:t>
      </w:r>
      <w:r>
        <w:rPr>
          <w:rtl w:val="true"/>
        </w:rPr>
        <w:t>ללא מעורבות פלילית</w:t>
      </w:r>
      <w:r>
        <w:rPr>
          <w:rtl w:val="true"/>
        </w:rPr>
        <w:t xml:space="preserve">. </w:t>
      </w:r>
      <w:r>
        <w:rPr>
          <w:rtl w:val="true"/>
        </w:rPr>
        <w:t>עוד עמדו על הקשר המורכב עם אחיו</w:t>
      </w:r>
      <w:r>
        <w:rPr>
          <w:rtl w:val="true"/>
        </w:rPr>
        <w:t xml:space="preserve">. </w:t>
      </w:r>
      <w:r>
        <w:rPr>
          <w:rtl w:val="true"/>
        </w:rPr>
        <w:t>להערכתם</w:t>
      </w:r>
      <w:r>
        <w:rPr>
          <w:rtl w:val="true"/>
        </w:rPr>
        <w:t xml:space="preserve">, </w:t>
      </w:r>
      <w:r>
        <w:rPr>
          <w:rtl w:val="true"/>
        </w:rPr>
        <w:t>בבסיס מעשיו</w:t>
      </w:r>
      <w:r>
        <w:rPr>
          <w:rtl w:val="true"/>
        </w:rPr>
        <w:t xml:space="preserve">, </w:t>
      </w:r>
      <w:r>
        <w:rPr>
          <w:rtl w:val="true"/>
        </w:rPr>
        <w:t>עומדים דפוסים אימפולסיביים</w:t>
      </w:r>
      <w:r>
        <w:rPr>
          <w:rtl w:val="true"/>
        </w:rPr>
        <w:t xml:space="preserve">, </w:t>
      </w:r>
      <w:r>
        <w:rPr>
          <w:rtl w:val="true"/>
        </w:rPr>
        <w:t>דימוי עצמי נמוך</w:t>
      </w:r>
      <w:r>
        <w:rPr>
          <w:rtl w:val="true"/>
        </w:rPr>
        <w:t xml:space="preserve">, </w:t>
      </w:r>
      <w:r>
        <w:rPr>
          <w:rtl w:val="true"/>
        </w:rPr>
        <w:t>רצון להוכיח את גבריותו וקשייו במצבי לחץ ומשבר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התרשמו שההליך הפלילי מהווה עבורו גורם הרתעה משמעותי</w:t>
      </w:r>
      <w:r>
        <w:rPr>
          <w:rtl w:val="true"/>
        </w:rPr>
        <w:t xml:space="preserve">. </w:t>
      </w:r>
      <w:r>
        <w:rPr>
          <w:rtl w:val="true"/>
        </w:rPr>
        <w:t>בסופו של תסקיר</w:t>
      </w:r>
      <w:r>
        <w:rPr>
          <w:rtl w:val="true"/>
        </w:rPr>
        <w:t xml:space="preserve">, </w:t>
      </w:r>
      <w:r>
        <w:rPr>
          <w:rtl w:val="true"/>
        </w:rPr>
        <w:t>נמנע שירות המבחן מהמלצה טיפולית והמליץ על ענישה מוחשית של מאסר בפועל תוך התחשבות בנתוני הנאשם</w:t>
      </w:r>
      <w:r>
        <w:rPr>
          <w:rtl w:val="true"/>
        </w:rPr>
        <w:t xml:space="preserve">, </w:t>
      </w:r>
      <w:r>
        <w:rPr>
          <w:rtl w:val="true"/>
        </w:rPr>
        <w:t>עברו הנקי וגילו הצעיר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תסקיר 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גרוש ואב לילדים</w:t>
      </w:r>
      <w:r>
        <w:rPr>
          <w:rtl w:val="true"/>
        </w:rPr>
        <w:t xml:space="preserve">. </w:t>
      </w:r>
      <w:r>
        <w:rPr>
          <w:rtl w:val="true"/>
        </w:rPr>
        <w:t>הנאשם היה מעורב באירוע ירי לפני שלוש שנים</w:t>
      </w:r>
      <w:r>
        <w:rPr>
          <w:rtl w:val="true"/>
        </w:rPr>
        <w:t xml:space="preserve">, </w:t>
      </w:r>
      <w:r>
        <w:rPr>
          <w:rtl w:val="true"/>
        </w:rPr>
        <w:t>ונפגע בראשו ובגופו</w:t>
      </w:r>
      <w:r>
        <w:rPr>
          <w:rtl w:val="true"/>
        </w:rPr>
        <w:t xml:space="preserve">, </w:t>
      </w:r>
      <w:r>
        <w:rPr>
          <w:rtl w:val="true"/>
        </w:rPr>
        <w:t>לטענתו על רקע סכסוך עם גרושתו</w:t>
      </w:r>
      <w:r>
        <w:rPr>
          <w:rtl w:val="true"/>
        </w:rPr>
        <w:t xml:space="preserve">, </w:t>
      </w:r>
      <w:r>
        <w:rPr>
          <w:rtl w:val="true"/>
        </w:rPr>
        <w:t>מאז חווה תחושות חרדה ופחד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מודה במיוחס לו ומקבל אחריות חלקית על מעשיו</w:t>
      </w:r>
      <w:r>
        <w:rPr>
          <w:rtl w:val="true"/>
        </w:rPr>
        <w:t xml:space="preserve">, </w:t>
      </w:r>
      <w:r>
        <w:rPr>
          <w:rtl w:val="true"/>
        </w:rPr>
        <w:t>מסר כי ברקע העבירה סכסוך שכנים</w:t>
      </w:r>
      <w:r>
        <w:rPr>
          <w:rtl w:val="true"/>
        </w:rPr>
        <w:t xml:space="preserve">, </w:t>
      </w:r>
      <w:r>
        <w:rPr>
          <w:rtl w:val="true"/>
        </w:rPr>
        <w:t>וכי חש פחד מהמתלונן</w:t>
      </w:r>
      <w:r>
        <w:rPr>
          <w:rtl w:val="true"/>
        </w:rPr>
        <w:t xml:space="preserve">. </w:t>
      </w:r>
      <w:r>
        <w:rPr>
          <w:rtl w:val="true"/>
        </w:rPr>
        <w:t>הנאשם נמנע מהתייחס לנסיבות מעורבות אחיו באירוע</w:t>
      </w:r>
      <w:r>
        <w:rPr>
          <w:rtl w:val="true"/>
        </w:rPr>
        <w:t xml:space="preserve">. </w:t>
      </w:r>
      <w:r>
        <w:rPr>
          <w:rtl w:val="true"/>
        </w:rPr>
        <w:t>להערכת שירות המבחן לנאשם קשיים בוויסות דחפים</w:t>
      </w:r>
      <w:r>
        <w:rPr>
          <w:rtl w:val="true"/>
        </w:rPr>
        <w:t xml:space="preserve">, </w:t>
      </w:r>
      <w:r>
        <w:rPr>
          <w:rtl w:val="true"/>
        </w:rPr>
        <w:t>מיקוד שליטה פנימי נמוך ונטייה לאימפולסיביות</w:t>
      </w:r>
      <w:r>
        <w:rPr>
          <w:rtl w:val="true"/>
        </w:rPr>
        <w:t xml:space="preserve">. </w:t>
      </w:r>
      <w:r>
        <w:rPr>
          <w:rtl w:val="true"/>
        </w:rPr>
        <w:t>הנאשם הביע נזקקות טיפולית</w:t>
      </w:r>
      <w:r>
        <w:rPr>
          <w:rtl w:val="true"/>
        </w:rPr>
        <w:t xml:space="preserve">, </w:t>
      </w:r>
      <w:r>
        <w:rPr>
          <w:rtl w:val="true"/>
        </w:rPr>
        <w:t>ושירות המבחן המליץ להעמידו תחת צו מבחן</w:t>
      </w:r>
      <w:r>
        <w:rPr>
          <w:rtl w:val="true"/>
        </w:rPr>
        <w:t xml:space="preserve">, </w:t>
      </w:r>
      <w:r>
        <w:rPr>
          <w:rtl w:val="true"/>
        </w:rPr>
        <w:t>ולהטיל עליו ענישה צופה פני עתיד 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שירי</w:t>
      </w:r>
      <w:r>
        <w:rPr>
          <w:rtl w:val="true"/>
        </w:rPr>
        <w:t xml:space="preserve">, </w:t>
      </w:r>
      <w:r>
        <w:rPr>
          <w:rtl w:val="true"/>
        </w:rPr>
        <w:t xml:space="preserve">עמדה בטיעוניה על החומרה המיוחדת שבמעשי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ועל הרקע למעשיו</w:t>
      </w:r>
      <w:r>
        <w:rPr>
          <w:rtl w:val="true"/>
        </w:rPr>
        <w:t xml:space="preserve">, </w:t>
      </w:r>
      <w:r>
        <w:rPr>
          <w:rtl w:val="true"/>
        </w:rPr>
        <w:t>סכסוך שכנים שלא היה צד ישיר לו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עותרת לעונש ראוי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להשקפתה מדובר בעונש מתון ואף קל בנסיבות התיק</w:t>
      </w:r>
      <w:r>
        <w:rPr>
          <w:rtl w:val="true"/>
        </w:rPr>
        <w:t xml:space="preserve">, </w:t>
      </w:r>
      <w:r>
        <w:rPr>
          <w:rtl w:val="true"/>
        </w:rPr>
        <w:t xml:space="preserve">וכולל התחשבות בכך שהעבירה בוצעה סמוך לכניסת הוראת שעה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 שהוא מחולל העבירה</w:t>
      </w:r>
      <w:r>
        <w:rPr>
          <w:rtl w:val="true"/>
        </w:rPr>
        <w:t xml:space="preserve">, </w:t>
      </w:r>
      <w:r>
        <w:rPr>
          <w:rtl w:val="true"/>
        </w:rPr>
        <w:t>פעל באופן מאיים כלפי שכניו</w:t>
      </w:r>
      <w:r>
        <w:rPr>
          <w:rtl w:val="true"/>
        </w:rPr>
        <w:t xml:space="preserve">, </w:t>
      </w:r>
      <w:r>
        <w:rPr>
          <w:rtl w:val="true"/>
        </w:rPr>
        <w:t>ועירב את אחיו בסכסוך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התסקירים שהתקבלו בעניינם של הנאשמים אינם חיוביים</w:t>
      </w:r>
      <w:r>
        <w:rPr>
          <w:rtl w:val="true"/>
        </w:rPr>
        <w:t xml:space="preserve">, </w:t>
      </w:r>
      <w:r>
        <w:rPr>
          <w:rtl w:val="true"/>
        </w:rPr>
        <w:t xml:space="preserve">בנוגע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כלל התסקיר המלצה טיפולית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ביקשה המאשימה לאמץ את עתירתה למאסר קצר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וסבורה שמדובר בעונש קל אך מציב גבול</w:t>
      </w:r>
      <w:r>
        <w:rPr>
          <w:rtl w:val="true"/>
        </w:rPr>
        <w:t xml:space="preserve">, </w:t>
      </w:r>
      <w:r>
        <w:rPr>
          <w:rtl w:val="true"/>
        </w:rPr>
        <w:t>וזאת לצד ענישה נלווית</w:t>
      </w:r>
      <w:r>
        <w:rPr>
          <w:rtl w:val="true"/>
        </w:rPr>
        <w:t xml:space="preserve">. </w:t>
      </w:r>
      <w:r>
        <w:rPr>
          <w:rtl w:val="true"/>
        </w:rPr>
        <w:t>משיחה עם נפגע העבירה עלה שאינו מבקש להגיש הצהרת נפגע</w:t>
      </w:r>
      <w:r>
        <w:rPr>
          <w:rtl w:val="true"/>
        </w:rPr>
        <w:t xml:space="preserve">, </w:t>
      </w:r>
      <w:r>
        <w:rPr>
          <w:rtl w:val="true"/>
        </w:rPr>
        <w:t>ואין לו צורך ורצון בפיצוי כספי</w:t>
      </w:r>
      <w:r>
        <w:rPr>
          <w:rtl w:val="true"/>
        </w:rPr>
        <w:t xml:space="preserve">. </w:t>
      </w:r>
      <w:r>
        <w:rPr>
          <w:rtl w:val="true"/>
        </w:rPr>
        <w:t>חרף בקשתו</w:t>
      </w:r>
      <w:r>
        <w:rPr>
          <w:rtl w:val="true"/>
        </w:rPr>
        <w:t xml:space="preserve">, </w:t>
      </w:r>
      <w:r>
        <w:rPr>
          <w:rtl w:val="true"/>
        </w:rPr>
        <w:t>עתרה המאשימה לפיצוי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שוורצברג</w:t>
      </w:r>
      <w:r>
        <w:rPr>
          <w:rtl w:val="true"/>
        </w:rPr>
        <w:t xml:space="preserve">, </w:t>
      </w:r>
      <w:r>
        <w:rPr>
          <w:rtl w:val="true"/>
        </w:rPr>
        <w:t>ביקש להתחשב בנאשמים ולגזור עליהם עונשים מתונים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נסיבות הירי אינן ברף גבוה</w:t>
      </w:r>
      <w:r>
        <w:rPr>
          <w:rtl w:val="true"/>
        </w:rPr>
        <w:t xml:space="preserve">, </w:t>
      </w:r>
      <w:r>
        <w:rPr>
          <w:rtl w:val="true"/>
        </w:rPr>
        <w:t>לא ידוע סוג הנשק</w:t>
      </w:r>
      <w:r>
        <w:rPr>
          <w:rtl w:val="true"/>
        </w:rPr>
        <w:t xml:space="preserve">, </w:t>
      </w:r>
      <w:r>
        <w:rPr>
          <w:rtl w:val="true"/>
        </w:rPr>
        <w:t>וכי הנאשם נקלע לסיטואציה ופעל באופן שגוי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תסקירו חיובי ומלמד על נאשם נורמטיבי שמבין את חומרת מעשיו</w:t>
      </w:r>
      <w:r>
        <w:rPr>
          <w:rtl w:val="true"/>
        </w:rPr>
        <w:t xml:space="preserve">. </w:t>
      </w:r>
      <w:r>
        <w:rPr>
          <w:rtl w:val="true"/>
        </w:rPr>
        <w:t>עוד הוסיף</w:t>
      </w:r>
      <w:r>
        <w:rPr>
          <w:rtl w:val="true"/>
        </w:rPr>
        <w:t xml:space="preserve">, </w:t>
      </w:r>
      <w:r>
        <w:rPr>
          <w:rtl w:val="true"/>
        </w:rPr>
        <w:t>שעובד בצורה מסודרת</w:t>
      </w:r>
      <w:r>
        <w:rPr>
          <w:rtl w:val="true"/>
        </w:rPr>
        <w:t xml:space="preserve">, </w:t>
      </w:r>
      <w:r>
        <w:rPr>
          <w:rtl w:val="true"/>
        </w:rPr>
        <w:t>ומשלים תואר באוניברסיטה</w:t>
      </w:r>
      <w:r>
        <w:rPr>
          <w:rtl w:val="true"/>
        </w:rPr>
        <w:t xml:space="preserve">. </w:t>
      </w:r>
      <w:r>
        <w:rPr>
          <w:rtl w:val="true"/>
        </w:rPr>
        <w:t xml:space="preserve">הסניגור הגיש אסופת מסמכים הכוללת מכתבי המלצה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העונש הראוי לגזור על נאשם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עבודות שירות ברף מירבי</w:t>
      </w:r>
      <w:r>
        <w:rPr>
          <w:rtl w:val="true"/>
        </w:rPr>
        <w:t xml:space="preserve">, </w:t>
      </w:r>
      <w:r>
        <w:rPr>
          <w:rtl w:val="true"/>
        </w:rPr>
        <w:t xml:space="preserve">ולכל היותר מאסר שלא יעלה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שהיה עצור תקופה של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הפנה לגילו ולעברו הנקי וכן להמלצות התסקיר וביקש להסתפק בענישה צופה פני עתיד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בדברו האחרון</w:t>
      </w:r>
      <w:r>
        <w:rPr>
          <w:rtl w:val="true"/>
        </w:rPr>
        <w:t xml:space="preserve">, </w:t>
      </w:r>
      <w:r>
        <w:rPr>
          <w:rtl w:val="true"/>
        </w:rPr>
        <w:t>הודה ששגה</w:t>
      </w:r>
      <w:r>
        <w:rPr>
          <w:rtl w:val="true"/>
        </w:rPr>
        <w:t xml:space="preserve">, </w:t>
      </w:r>
      <w:r>
        <w:rPr>
          <w:rtl w:val="true"/>
        </w:rPr>
        <w:t>ונטל אחריות על מעשיו</w:t>
      </w:r>
      <w:r>
        <w:rPr>
          <w:rtl w:val="true"/>
        </w:rPr>
        <w:t xml:space="preserve">. </w:t>
      </w:r>
      <w:r>
        <w:rPr>
          <w:rtl w:val="true"/>
        </w:rPr>
        <w:t>הנאשם ביקש להתחשב בו ובמשפחתו</w:t>
      </w:r>
      <w:r>
        <w:rPr>
          <w:rtl w:val="true"/>
        </w:rPr>
        <w:t xml:space="preserve">, </w:t>
      </w:r>
      <w:r>
        <w:rPr>
          <w:rtl w:val="true"/>
        </w:rPr>
        <w:t>רעייתו ובתו התינוקת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עתירת המאשימה לעונש ראוי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שאף להשקפת הסניגור מצוי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במתחם הסבירות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אינה פוטרת את בית המשפט מקביעת מתחם עונש הולם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ruller40"/>
        <w:numPr>
          <w:ilvl w:val="0"/>
          <w:numId w:val="1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הגואה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ולביטחונו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בתופעה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,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David" w:hAnsi="David" w:eastAsia="Calibri" w:cs="David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פני נסיבותיו האישיות של הנידון</w:t>
      </w:r>
      <w:r>
        <w:rPr>
          <w:rFonts w:eastAsia="Calibri" w:cs="David" w:ascii="David" w:hAnsi="David"/>
          <w:rtl w:val="true"/>
        </w:rPr>
        <w:t>" (</w:t>
      </w:r>
      <w:hyperlink r:id="rId12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b/>
          <w:b/>
          <w:bCs/>
          <w:rtl w:val="true"/>
        </w:rPr>
        <w:t>עדאב אבו נאעסה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 w:cs="David"/>
          <w:b/>
          <w:b/>
          <w:bCs/>
          <w:rtl w:val="true"/>
        </w:rPr>
        <w:t>מדינת ישראל</w:t>
      </w:r>
      <w:r>
        <w:rPr>
          <w:rFonts w:ascii="David" w:hAnsi="David" w:eastAsia="Calibri" w:cs="David"/>
          <w:rtl w:val="true"/>
        </w:rPr>
        <w:t xml:space="preserve"> 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22.5.2022</w:t>
      </w:r>
      <w:r>
        <w:rPr>
          <w:rFonts w:eastAsia="Calibri" w:cs="David" w:ascii="David" w:hAnsi="David"/>
          <w:rtl w:val="true"/>
        </w:rPr>
        <w:t xml:space="preserve">))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אחמד 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5-6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); </w:t>
      </w:r>
      <w:hyperlink r:id="rId1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מוחמד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חאלד 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25.11.2021</w:t>
      </w:r>
      <w:r>
        <w:rPr>
          <w:rFonts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cs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cs="David" w:ascii="David" w:hAnsi="David"/>
          <w:spacing w:val="10"/>
          <w:sz w:val="20"/>
          <w:shd w:fill="FFFFFF" w:val="clear"/>
        </w:rPr>
        <w:t>10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cs="David" w:ascii="David" w:hAnsi="David"/>
          <w:spacing w:val="10"/>
          <w:sz w:val="20"/>
          <w:shd w:fill="FFFFFF" w:val="clear"/>
        </w:rPr>
        <w:t>28.12.2021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אל 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31.7.2022</w:t>
      </w:r>
      <w:r>
        <w:rPr>
          <w:rFonts w:cs="David" w:ascii="David" w:hAnsi="David"/>
          <w:rtl w:val="true"/>
        </w:rPr>
        <w:t xml:space="preserve">); </w:t>
      </w:r>
      <w:hyperlink r:id="rId1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pacing w:val="10"/>
        </w:rPr>
      </w:pPr>
      <w:r>
        <w:rPr>
          <w:rFonts w:cs="David"/>
          <w:color w:val="000000"/>
          <w:spacing w:val="10"/>
          <w:rtl w:val="true"/>
        </w:rPr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מגמה זו קיבלה לאחרונה ביטוי סטטוטורי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/>
        <w:t>140</w:t>
      </w:r>
      <w:r>
        <w:rPr>
          <w:rtl w:val="true"/>
        </w:rPr>
        <w:t>-</w:t>
      </w:r>
      <w:r>
        <w:rPr>
          <w:rtl w:val="true"/>
        </w:rPr>
        <w:t>הוראת שעה</w:t>
      </w:r>
      <w:r>
        <w:rPr>
          <w:rtl w:val="true"/>
        </w:rPr>
        <w:t xml:space="preserve">)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במסגרתו נקבעו עונשי מינימום בעבירות נשק</w:t>
      </w:r>
      <w:r>
        <w:rPr>
          <w:rtl w:val="true"/>
        </w:rPr>
        <w:t xml:space="preserve">, </w:t>
      </w:r>
      <w:r>
        <w:rPr>
          <w:rtl w:val="true"/>
        </w:rPr>
        <w:t>כך שהעונש שיושת בגין עבירות אלו לא יפחת מרבע העונש המרבי שנקבע לעבירה</w:t>
      </w:r>
      <w:r>
        <w:rPr>
          <w:rtl w:val="true"/>
        </w:rPr>
        <w:t xml:space="preserve">, </w:t>
      </w:r>
      <w:r>
        <w:rPr>
          <w:rtl w:val="true"/>
        </w:rPr>
        <w:t>אלא בהתקיים טעמים מיוחדים</w:t>
      </w:r>
      <w:r>
        <w:rPr>
          <w:rtl w:val="true"/>
        </w:rPr>
        <w:t xml:space="preserve">. </w:t>
      </w:r>
      <w:r>
        <w:rPr>
          <w:rtl w:val="true"/>
        </w:rPr>
        <w:t>מועד ביצוע העבירות ע</w:t>
      </w:r>
      <w:r>
        <w:rPr>
          <w:rtl w:val="true"/>
        </w:rPr>
        <w:t>"</w:t>
      </w:r>
      <w:r>
        <w:rPr>
          <w:rtl w:val="true"/>
        </w:rPr>
        <w:t xml:space="preserve">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חופף למועד כניסת הוראת שעה לתוקף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 xml:space="preserve">השימוש בנשק שביצע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מגביר את חומרת מעשיו</w:t>
      </w:r>
      <w:r>
        <w:rPr>
          <w:rtl w:val="true"/>
        </w:rPr>
        <w:t xml:space="preserve">. </w:t>
      </w:r>
      <w:r>
        <w:rPr>
          <w:rtl w:val="true"/>
        </w:rPr>
        <w:t>ירי בנשק חם</w:t>
      </w:r>
      <w:r>
        <w:rPr>
          <w:rtl w:val="true"/>
        </w:rPr>
        <w:t xml:space="preserve">, </w:t>
      </w:r>
      <w:r>
        <w:rPr>
          <w:rtl w:val="true"/>
        </w:rPr>
        <w:t xml:space="preserve">אף אם מבוצע במקומות שאינם הומי אדם מגביר את הסיכון לשלום הציבור ובטחונו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מסלאחה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9.8.22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  <w:t>אף בעניין זה אמר המחוקק את דברו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תיקונו של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לרבות החמרת העונש הקבוע בצד העבירה של ירי באזור מגורים לחמש שנות מאסר  </w:t>
      </w:r>
      <w:r>
        <w:rPr>
          <w:rtl w:val="true"/>
        </w:rPr>
        <w:t>(</w:t>
      </w:r>
      <w:r>
        <w:rPr>
          <w:rtl w:val="true"/>
        </w:rPr>
        <w:t xml:space="preserve">הצעת </w:t>
      </w:r>
      <w:hyperlink r:id="rId2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132</w:t>
      </w:r>
      <w:r>
        <w:rPr>
          <w:rtl w:val="true"/>
        </w:rPr>
        <w:t>) (</w:t>
      </w:r>
      <w:r>
        <w:rPr>
          <w:rtl w:val="true"/>
        </w:rPr>
        <w:t>ירי מנשק 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1223</w:t>
      </w:r>
      <w:r>
        <w:rPr>
          <w:rtl w:val="true"/>
        </w:rPr>
        <w:t xml:space="preserve">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1414/17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</w:rPr>
          <w:t>2030/17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עריאן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25.10.17</w:t>
      </w:r>
      <w:r>
        <w:rPr>
          <w:rtl w:val="true"/>
        </w:rPr>
        <w:t xml:space="preserve">)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נסיבות מעשי הנאשמים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 </w:t>
      </w:r>
      <w:r>
        <w:rPr>
          <w:rtl w:val="true"/>
        </w:rPr>
        <w:t>על רקע סכסוך מיותר</w:t>
      </w:r>
      <w:r>
        <w:rPr>
          <w:rtl w:val="true"/>
        </w:rPr>
        <w:t xml:space="preserve">, </w:t>
      </w:r>
      <w:r>
        <w:rPr>
          <w:rtl w:val="true"/>
        </w:rPr>
        <w:t xml:space="preserve">בין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לבני משפחת המתלונן</w:t>
      </w:r>
      <w:r>
        <w:rPr>
          <w:rtl w:val="true"/>
        </w:rPr>
        <w:t xml:space="preserve">,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בנוגע למקום חנייה</w:t>
      </w:r>
      <w:r>
        <w:rPr>
          <w:rtl w:val="true"/>
        </w:rPr>
        <w:t xml:space="preserve">, </w:t>
      </w:r>
      <w:r>
        <w:rPr>
          <w:rtl w:val="true"/>
        </w:rPr>
        <w:t xml:space="preserve">הוציא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פטיש מרכבו ואיים באמצעותו על המתלונן ואחיינו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אחיו הצעיר</w:t>
      </w:r>
      <w:r>
        <w:rPr>
          <w:rtl w:val="true"/>
        </w:rPr>
        <w:t xml:space="preserve">, </w:t>
      </w:r>
      <w:r>
        <w:rPr>
          <w:rtl w:val="true"/>
        </w:rPr>
        <w:t>ששהה במקום</w:t>
      </w:r>
      <w:r>
        <w:rPr>
          <w:rtl w:val="true"/>
        </w:rPr>
        <w:t xml:space="preserve">, </w:t>
      </w:r>
      <w:r>
        <w:rPr>
          <w:rtl w:val="true"/>
        </w:rPr>
        <w:t xml:space="preserve">איים על שכניו </w:t>
      </w:r>
      <w:r>
        <w:rPr>
          <w:rtl w:val="true"/>
        </w:rPr>
        <w:t>"</w:t>
      </w:r>
      <w:r>
        <w:rPr>
          <w:rtl w:val="true"/>
        </w:rPr>
        <w:t>שיראה להם</w:t>
      </w:r>
      <w:r>
        <w:rPr>
          <w:rtl w:val="true"/>
        </w:rPr>
        <w:t xml:space="preserve">", </w:t>
      </w:r>
      <w:r>
        <w:rPr>
          <w:rtl w:val="true"/>
        </w:rPr>
        <w:t>נכנס לבית</w:t>
      </w:r>
      <w:r>
        <w:rPr>
          <w:rtl w:val="true"/>
        </w:rPr>
        <w:t xml:space="preserve">, </w:t>
      </w:r>
      <w:r>
        <w:rPr>
          <w:rtl w:val="true"/>
        </w:rPr>
        <w:t>יצא כשבחזקתו נשק וירה מספר יריות באוויר בסמוך לנפגעי העבירה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מעשיו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בוצעו באימפולסיביות</w:t>
      </w:r>
      <w:r>
        <w:rPr>
          <w:rtl w:val="true"/>
        </w:rPr>
        <w:t xml:space="preserve">, </w:t>
      </w:r>
      <w:r>
        <w:rPr>
          <w:rtl w:val="true"/>
        </w:rPr>
        <w:t>הזמן הקצר שחלף בין כניסתו לביתו ועד יציאתו חמוש בנשק טעון מלמד על נגישות לנשק</w:t>
      </w:r>
      <w:r>
        <w:rPr>
          <w:rtl w:val="true"/>
        </w:rPr>
        <w:t xml:space="preserve">, </w:t>
      </w:r>
      <w:r>
        <w:rPr>
          <w:rtl w:val="true"/>
        </w:rPr>
        <w:t>ועל שימוש בו ללא מחשבה ותוך סיכון ממשי לנוכחים במקום</w:t>
      </w:r>
      <w:r>
        <w:rPr>
          <w:rtl w:val="true"/>
        </w:rPr>
        <w:t xml:space="preserve">. </w:t>
      </w:r>
      <w:r>
        <w:rPr>
          <w:rtl w:val="true"/>
        </w:rPr>
        <w:t>טענתו בתסקיר</w:t>
      </w:r>
      <w:r>
        <w:rPr>
          <w:rtl w:val="true"/>
        </w:rPr>
        <w:t xml:space="preserve">, </w:t>
      </w:r>
      <w:r>
        <w:rPr>
          <w:rtl w:val="true"/>
        </w:rPr>
        <w:t>שקיבל את הנשק מאחיו וכי לא ידע שאינו חוקי</w:t>
      </w:r>
      <w:r>
        <w:rPr>
          <w:rtl w:val="true"/>
        </w:rPr>
        <w:t xml:space="preserve">, </w:t>
      </w:r>
      <w:r>
        <w:rPr>
          <w:rtl w:val="true"/>
        </w:rPr>
        <w:t>לא מגובה בראיות</w:t>
      </w:r>
      <w:r>
        <w:rPr>
          <w:rtl w:val="true"/>
        </w:rPr>
        <w:t xml:space="preserve">, </w:t>
      </w:r>
      <w:r>
        <w:rPr>
          <w:rtl w:val="true"/>
        </w:rPr>
        <w:t>ואינה מתיישבת עם הקלות הבלתי נסבלת שבה פתח בירי שהיה בו כדי לאיים ולהטיל מורא על שכניו</w:t>
      </w:r>
      <w:r>
        <w:rPr>
          <w:rtl w:val="true"/>
        </w:rPr>
        <w:t xml:space="preserve">. </w:t>
      </w:r>
      <w:r>
        <w:rPr>
          <w:rtl w:val="true"/>
        </w:rPr>
        <w:t>מאחר שלא צויין במפורש סוג הנשק</w:t>
      </w:r>
      <w:r>
        <w:rPr>
          <w:rtl w:val="true"/>
        </w:rPr>
        <w:t xml:space="preserve">, </w:t>
      </w:r>
      <w:r>
        <w:rPr>
          <w:rtl w:val="true"/>
        </w:rPr>
        <w:t xml:space="preserve">אלא שהיה טעון בכדורי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ניתן להניח שאחז באקדח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 xml:space="preserve">הירי בוצע לאוויר ולא בכוונה לפגוע בנוכחים אך פוטנציאל הנזק ממעשי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אינו נמוך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הנאשם הוא שהתחיל בויכוח על עניין פעוט</w:t>
      </w:r>
      <w:r>
        <w:rPr>
          <w:rtl w:val="true"/>
        </w:rPr>
        <w:t xml:space="preserve">, </w:t>
      </w:r>
      <w:r>
        <w:rPr>
          <w:rtl w:val="true"/>
        </w:rPr>
        <w:t>איים תוך שימוש בפטיש על המתלונן ואחיינו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 לעזרתו ופעל באופן פסול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הנאשמים בערכים המוגנים מובילה למסקנה כי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דינם של עברייני הנשק הוא למאסר מאחורי סורג ובריח</w:t>
      </w:r>
      <w:r>
        <w:rPr>
          <w:rtl w:val="true"/>
        </w:rPr>
        <w:t xml:space="preserve">,  </w:t>
      </w:r>
      <w:r>
        <w:rPr>
          <w:rtl w:val="true"/>
        </w:rPr>
        <w:t>הפסיקה אינה מקלה עם נאשמים צעירים או נעדרי עבר פלילי</w:t>
      </w:r>
      <w:r>
        <w:rPr>
          <w:rtl w:val="true"/>
        </w:rPr>
        <w:t xml:space="preserve">, </w:t>
      </w:r>
      <w:r>
        <w:rPr>
          <w:rtl w:val="true"/>
        </w:rPr>
        <w:t>ומבכרת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. </w:t>
      </w:r>
      <w:r>
        <w:rPr>
          <w:rtl w:val="true"/>
        </w:rPr>
        <w:t>המסר העונשי נחרץ ואינו משתמע לשני פנים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עלינו לזכור כי מדובר במשחק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אפס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שופט שמרחם על עבריין נשק ומקל בעונשו אינו מרחם על הקורבן הבא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>)):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 </w:t>
      </w:r>
      <w:r>
        <w:rPr>
          <w:rtl w:val="true"/>
        </w:rPr>
        <w:t>החמיר בית המשפט העליון בעונשם של שני משיבים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אשר ירו באוויר באמצעות רובה סער</w:t>
      </w:r>
      <w:r>
        <w:rPr>
          <w:rtl w:val="true"/>
        </w:rPr>
        <w:t xml:space="preserve">,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קליעים מחוץ לביתו של המתלונן</w:t>
      </w:r>
      <w:r>
        <w:rPr>
          <w:rtl w:val="true"/>
        </w:rPr>
        <w:t xml:space="preserve">, </w:t>
      </w:r>
      <w:r>
        <w:rPr>
          <w:rtl w:val="true"/>
        </w:rPr>
        <w:t>והשליכו ראש כבש לעבר חצר ביתו</w:t>
      </w:r>
      <w:r>
        <w:rPr>
          <w:rtl w:val="true"/>
        </w:rPr>
        <w:t xml:space="preserve">. </w:t>
      </w:r>
      <w:r>
        <w:rPr>
          <w:rtl w:val="true"/>
        </w:rPr>
        <w:t xml:space="preserve">כל אחד מהם נדון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 xml:space="preserve">חלף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שהשית עליהם בית המשפט המחוזי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29.04.2021</w:t>
      </w:r>
      <w:r>
        <w:rPr>
          <w:rtl w:val="true"/>
        </w:rPr>
        <w:t xml:space="preserve">)- </w:t>
      </w:r>
      <w:r>
        <w:rPr>
          <w:rtl w:val="true"/>
        </w:rPr>
        <w:t>נדחה ערעורו של נאשם שהורשע בהחזקת אקדח גנוב וירי מספר יריות לעבר קטין עמו היה מסוכסך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בירי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 xml:space="preserve">נדון למאסר 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 נדחה</w:t>
      </w:r>
      <w:r>
        <w:rPr>
          <w:rtl w:val="true"/>
        </w:rPr>
        <w:t xml:space="preserve">; 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דחלה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13.4.22</w:t>
      </w:r>
      <w:r>
        <w:rPr>
          <w:rtl w:val="true"/>
        </w:rPr>
        <w:t xml:space="preserve">)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צעיר ללא עבר</w:t>
      </w:r>
      <w:r>
        <w:rPr>
          <w:rtl w:val="true"/>
        </w:rPr>
        <w:t xml:space="preserve">, </w:t>
      </w:r>
      <w:r>
        <w:rPr>
          <w:rtl w:val="true"/>
        </w:rPr>
        <w:t>אשר ירה באקדח בסמוך לבתי מגורים על רקע סכסוך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54-34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נדון נאשם</w:t>
      </w:r>
      <w:r>
        <w:rPr>
          <w:rtl w:val="true"/>
        </w:rPr>
        <w:t xml:space="preserve">, </w:t>
      </w:r>
      <w:r>
        <w:rPr>
          <w:rtl w:val="true"/>
        </w:rPr>
        <w:t>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בגין נשיאת נשק מסוג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 xml:space="preserve">וירי בשעת לילה של שני כדורים באזור מגורים למאסר 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שנע בין </w:t>
      </w:r>
      <w:r>
        <w:rPr/>
        <w:t>20-50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קיבל את ערעור המדינה</w:t>
      </w:r>
      <w:r>
        <w:rPr>
          <w:rtl w:val="true"/>
        </w:rPr>
        <w:t xml:space="preserve">, </w:t>
      </w:r>
      <w:r>
        <w:rPr>
          <w:rtl w:val="true"/>
        </w:rPr>
        <w:t>קבע כי לא ניתן ביטוי הולם לחומרת המעשים ולצרכי ההרתעה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עונשו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7831/21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 עסליה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24.4.2022</w:t>
      </w:r>
      <w:r>
        <w:rPr>
          <w:rtl w:val="true"/>
        </w:rPr>
        <w:t xml:space="preserve">)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אשר יחד עם שניים אחרים</w:t>
      </w:r>
      <w:r>
        <w:rPr>
          <w:rtl w:val="true"/>
        </w:rPr>
        <w:t xml:space="preserve">, </w:t>
      </w:r>
      <w:r>
        <w:rPr>
          <w:rtl w:val="true"/>
        </w:rPr>
        <w:t>ירה במועדון הומה אדם באופן פזיז</w:t>
      </w:r>
      <w:r>
        <w:rPr>
          <w:rtl w:val="true"/>
        </w:rPr>
        <w:t xml:space="preserve">, </w:t>
      </w:r>
      <w:r>
        <w:rPr>
          <w:rtl w:val="true"/>
        </w:rPr>
        <w:t>על רקע סכסוך עם אחד מהנוכחים במקום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72-36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וגזר עונשו למאסר 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סבג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11.9.22</w:t>
      </w:r>
      <w:r>
        <w:rPr>
          <w:rtl w:val="true"/>
        </w:rPr>
        <w:t xml:space="preserve">), </w:t>
      </w:r>
      <w:r>
        <w:rPr>
          <w:rtl w:val="true"/>
        </w:rPr>
        <w:t>מקרה שנסיבותיו חמורות יותר מענייננו</w:t>
      </w:r>
      <w:r>
        <w:rPr>
          <w:rtl w:val="true"/>
        </w:rPr>
        <w:t xml:space="preserve">,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בעל עבר פלילי מכביד</w:t>
      </w:r>
      <w:r>
        <w:rPr>
          <w:rtl w:val="true"/>
        </w:rPr>
        <w:t xml:space="preserve">, </w:t>
      </w:r>
      <w:r>
        <w:rPr>
          <w:rtl w:val="true"/>
        </w:rPr>
        <w:t>אשר יחד עם שניים נוספים</w:t>
      </w:r>
      <w:r>
        <w:rPr>
          <w:rtl w:val="true"/>
        </w:rPr>
        <w:t xml:space="preserve">, </w:t>
      </w:r>
      <w:r>
        <w:rPr>
          <w:rtl w:val="true"/>
        </w:rPr>
        <w:t>ירה באקדח חצי אוטומטי בשעת צהריים סמוך לביתו של אדם עמו היה מסוכסך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נדון למאסר בן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לאחר שבחנתי את נסיבות מעשי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ובעיקר נתתי משקל לעתירתה המתונה של המאשימה</w:t>
      </w:r>
      <w:r>
        <w:rPr>
          <w:rtl w:val="true"/>
        </w:rPr>
        <w:t xml:space="preserve">, </w:t>
      </w:r>
      <w:r>
        <w:rPr>
          <w:rtl w:val="true"/>
        </w:rPr>
        <w:t>אני קובעת מתחם ענישה שנע</w:t>
      </w:r>
      <w:r>
        <w:rPr>
          <w:b/>
          <w:b/>
          <w:bCs/>
          <w:rtl w:val="true"/>
        </w:rPr>
        <w:t xml:space="preserve"> בין </w:t>
      </w:r>
      <w:r>
        <w:rPr>
          <w:b/>
          <w:bCs/>
        </w:rPr>
        <w:t>28-50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אשר לנאשם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בהנתן נסיבות מעשה האיום תוך שימוש בפטיש ובמלל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שנע בין </w:t>
      </w:r>
      <w:r>
        <w:rPr/>
        <w:t>2-8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הניתנים לריצוי בדרך של עבודות שירות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נטול עבר פלילי</w:t>
      </w:r>
      <w:r>
        <w:rPr>
          <w:rtl w:val="true"/>
        </w:rPr>
        <w:t xml:space="preserve">, </w:t>
      </w:r>
      <w:r>
        <w:rPr>
          <w:rtl w:val="true"/>
        </w:rPr>
        <w:t>מנהל אורח חיים יציב</w:t>
      </w:r>
      <w:r>
        <w:rPr>
          <w:rtl w:val="true"/>
        </w:rPr>
        <w:t xml:space="preserve">, </w:t>
      </w:r>
      <w:r>
        <w:rPr>
          <w:rtl w:val="true"/>
        </w:rPr>
        <w:t>עובד לפרנסתו</w:t>
      </w:r>
      <w:r>
        <w:rPr>
          <w:rtl w:val="true"/>
        </w:rPr>
        <w:t xml:space="preserve">, </w:t>
      </w:r>
      <w:r>
        <w:rPr>
          <w:rtl w:val="true"/>
        </w:rPr>
        <w:t>ואף משלים תואר הנדסאי בניין</w:t>
      </w:r>
      <w:r>
        <w:rPr>
          <w:rtl w:val="true"/>
        </w:rPr>
        <w:t xml:space="preserve">, </w:t>
      </w:r>
      <w:r>
        <w:rPr>
          <w:rtl w:val="true"/>
        </w:rPr>
        <w:t>נשוי ואב לתינוקת</w:t>
      </w:r>
      <w:r>
        <w:rPr>
          <w:rtl w:val="true"/>
        </w:rPr>
        <w:t xml:space="preserve">, </w:t>
      </w:r>
      <w:r>
        <w:rPr>
          <w:rtl w:val="true"/>
        </w:rPr>
        <w:t>שהה במעצר בתיק זה מספר חודשים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טען כי נערך הסכם סולחה עם שכניו </w:t>
      </w:r>
      <w:r>
        <w:rPr>
          <w:rtl w:val="true"/>
        </w:rPr>
        <w:t>(</w:t>
      </w:r>
      <w:r>
        <w:rPr>
          <w:rtl w:val="true"/>
        </w:rPr>
        <w:t>אך לא הוצגה אסמכתא</w:t>
      </w:r>
      <w:r>
        <w:rPr>
          <w:rtl w:val="true"/>
        </w:rPr>
        <w:t xml:space="preserve">). </w:t>
      </w:r>
      <w:r>
        <w:rPr>
          <w:rtl w:val="true"/>
        </w:rPr>
        <w:t>התסקיר שהתקבל בעניינו אינו בא בהמלצה טיפולית</w:t>
      </w:r>
      <w:r>
        <w:rPr>
          <w:rtl w:val="true"/>
        </w:rPr>
        <w:t xml:space="preserve">,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שירות המבחן סבור שיש לגזור על הנאשם ענישת מאסר מוחשית</w:t>
      </w:r>
      <w:r>
        <w:rPr>
          <w:rtl w:val="true"/>
        </w:rPr>
        <w:t xml:space="preserve">. </w:t>
      </w:r>
      <w:r>
        <w:rPr>
          <w:rtl w:val="true"/>
        </w:rPr>
        <w:t>הנאשם נטל אחריות חלקית על מעשיו</w:t>
      </w:r>
      <w:r>
        <w:rPr>
          <w:rtl w:val="true"/>
        </w:rPr>
        <w:t xml:space="preserve">, </w:t>
      </w:r>
      <w:r>
        <w:rPr>
          <w:rtl w:val="true"/>
        </w:rPr>
        <w:t>גלגל את רובה לעבר אחיו ואוחז בעמדות מקלות ביחס לשימוש בנשק בלתי חוקי</w:t>
      </w:r>
      <w:r>
        <w:rPr>
          <w:rtl w:val="true"/>
        </w:rPr>
        <w:t xml:space="preserve">. </w:t>
      </w:r>
      <w:r>
        <w:rPr>
          <w:rtl w:val="true"/>
        </w:rPr>
        <w:t>הנאשם אמנם אינו בעל דפוסים עברייניים</w:t>
      </w:r>
      <w:r>
        <w:rPr>
          <w:rtl w:val="true"/>
        </w:rPr>
        <w:t xml:space="preserve">, </w:t>
      </w:r>
      <w:r>
        <w:rPr>
          <w:rtl w:val="true"/>
        </w:rPr>
        <w:t>ונראה כי למד את לקחו ומביע חרטה כנה על מעשיו</w:t>
      </w:r>
      <w:r>
        <w:rPr>
          <w:rtl w:val="true"/>
        </w:rPr>
        <w:t xml:space="preserve">, </w:t>
      </w:r>
      <w:r>
        <w:rPr>
          <w:rtl w:val="true"/>
        </w:rPr>
        <w:t>עם זאת</w:t>
      </w:r>
      <w:r>
        <w:rPr>
          <w:rtl w:val="true"/>
        </w:rPr>
        <w:t xml:space="preserve">,  </w:t>
      </w:r>
      <w:r>
        <w:rPr>
          <w:rtl w:val="true"/>
        </w:rPr>
        <w:t>נתוניו אינם שונים מנתוניהם של מרבית עברייני הנשק בעת האחרונה</w:t>
      </w:r>
      <w:r>
        <w:rPr>
          <w:rtl w:val="true"/>
        </w:rPr>
        <w:t xml:space="preserve">, </w:t>
      </w:r>
      <w:r>
        <w:rPr>
          <w:rtl w:val="true"/>
        </w:rPr>
        <w:t>רובם צעירים</w:t>
      </w:r>
      <w:r>
        <w:rPr>
          <w:rtl w:val="true"/>
        </w:rPr>
        <w:t xml:space="preserve">, </w:t>
      </w:r>
      <w:r>
        <w:rPr>
          <w:rtl w:val="true"/>
        </w:rPr>
        <w:t>בנים למשפחות נורמטיביות</w:t>
      </w:r>
      <w:r>
        <w:rPr>
          <w:rtl w:val="true"/>
        </w:rPr>
        <w:t xml:space="preserve">, </w:t>
      </w:r>
      <w:r>
        <w:rPr>
          <w:rtl w:val="true"/>
        </w:rPr>
        <w:t>נטולי עבר פלילי</w:t>
      </w:r>
      <w:r>
        <w:rPr>
          <w:rtl w:val="true"/>
        </w:rPr>
        <w:t xml:space="preserve">, </w:t>
      </w:r>
      <w:r>
        <w:rPr>
          <w:rtl w:val="true"/>
        </w:rPr>
        <w:t>העושים שימוש פזיז בנשק לפתרון סכסוכים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תסקירו אינו חיובי אך מגלה נזקקות טיפולית ונכונות לשיתוף פעולה עם שירות המבחן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לאחר ששקלתי את כלל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באשר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הגם שתסקירו אינו חיובי אתחשב בפגיעה הצפוייה של מאסרו בו ובמשפחתו הצעירה</w:t>
      </w:r>
      <w:r>
        <w:rPr>
          <w:rtl w:val="true"/>
        </w:rPr>
        <w:t xml:space="preserve">, </w:t>
      </w:r>
      <w:r>
        <w:rPr>
          <w:rtl w:val="true"/>
        </w:rPr>
        <w:t>ואמקם את עונשו בתחתית המתחם</w:t>
      </w:r>
      <w:r>
        <w:rPr>
          <w:rtl w:val="true"/>
        </w:rPr>
        <w:t xml:space="preserve">. </w:t>
      </w:r>
      <w:r>
        <w:rPr>
          <w:rtl w:val="true"/>
        </w:rPr>
        <w:t xml:space="preserve">אף את עונשו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אמקם בתחתית המתחם ואטיל עליו צו מבחן</w:t>
      </w:r>
      <w:r>
        <w:rPr>
          <w:rtl w:val="true"/>
        </w:rPr>
        <w:t xml:space="preserve">. </w:t>
      </w:r>
      <w:r>
        <w:rPr>
          <w:rtl w:val="true"/>
        </w:rPr>
        <w:t>אשר לעתירת המאשימה לפיצוי</w:t>
      </w:r>
      <w:r>
        <w:rPr>
          <w:rtl w:val="true"/>
        </w:rPr>
        <w:t xml:space="preserve">, </w:t>
      </w:r>
      <w:r>
        <w:rPr>
          <w:rtl w:val="true"/>
        </w:rPr>
        <w:t>אני סבורה שמדובר בעתירה ראויה</w:t>
      </w:r>
      <w:r>
        <w:rPr>
          <w:rtl w:val="true"/>
        </w:rPr>
        <w:t xml:space="preserve">, </w:t>
      </w:r>
      <w:r>
        <w:rPr>
          <w:rtl w:val="true"/>
        </w:rPr>
        <w:t>חוסר רצונו של המתלונן לבקש פיצוי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אך ברי שחש פחד רב כתוצאה ממעשי הנאשמים ונגרמה לו עוגמת נפש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הנאשמים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-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</w:t>
      </w:r>
      <w:r>
        <w:rPr/>
        <w:t>15.12.21-21.2.22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</w:t>
      </w:r>
      <w:r>
        <w:rPr>
          <w:rtl w:val="true"/>
        </w:rPr>
        <w:t xml:space="preserve">, </w:t>
      </w:r>
      <w:r>
        <w:rPr>
          <w:rtl w:val="true"/>
        </w:rPr>
        <w:t>לרבות שימוש בו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>פיצוי למתלונן א</w:t>
      </w:r>
      <w:r>
        <w:rPr>
          <w:rtl w:val="true"/>
        </w:rPr>
        <w:t>.</w:t>
      </w:r>
      <w:r>
        <w:rPr>
          <w:rtl w:val="true"/>
        </w:rPr>
        <w:t xml:space="preserve">א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1.8.23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18.9.23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>".</w:t>
      </w:r>
      <w:r>
        <w:rPr>
          <w:rtl w:val="true"/>
        </w:rPr>
        <w:t>לצורך הבטחת התייצבותו תעמדונה הערבויות וצו עיכוב יציאה מהארץ בהליך המעצר</w:t>
      </w:r>
      <w:r>
        <w:rPr>
          <w:rtl w:val="true"/>
        </w:rPr>
        <w:t xml:space="preserve">, </w:t>
      </w:r>
      <w:r>
        <w:rPr>
          <w:rtl w:val="true"/>
        </w:rPr>
        <w:t>שיושבו למפקיד עם כניסתו למאסר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 w:before="0" w:after="1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 מאסר בדרך של עבודות שירות במקום העבודה מתנ</w:t>
      </w:r>
      <w:r>
        <w:rPr>
          <w:rtl w:val="true"/>
        </w:rPr>
        <w:t>"</w:t>
      </w:r>
      <w:r>
        <w:rPr>
          <w:rtl w:val="true"/>
        </w:rPr>
        <w:t xml:space="preserve">ס קריית נורדאו בכתובת אריה לוין </w:t>
      </w:r>
      <w:r>
        <w:rPr/>
        <w:t>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על הנאשם להתייצב לקליטה והצבה ביום </w:t>
      </w:r>
      <w:r>
        <w:rPr/>
        <w:t>10.9.23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 הממונה בכתובת לוחמי בית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 מוזהר כי אם לא ישתף פעולה עם הממונה ניתן להמיר את העבודות במאסר ממש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>מטילה על הנאשם צו מבחן למשך שנה מהיום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שלא יעבור עבירת אלימות במשך שנתיים מהיום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480" w:before="0" w:after="160"/>
        <w:ind w:hanging="360" w:start="1080" w:end="0"/>
        <w:contextualSpacing/>
        <w:jc w:val="both"/>
        <w:rPr/>
      </w:pPr>
      <w:r>
        <w:rPr>
          <w:rtl w:val="true"/>
        </w:rPr>
        <w:t>פיצוי למתלונן 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שישולם עד ליום </w:t>
      </w:r>
      <w:r>
        <w:rPr/>
        <w:t>1.11.23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color w:val="FFFFFF"/>
          <w:spacing w:val="0"/>
          <w:sz w:val="2"/>
          <w:szCs w:val="22"/>
        </w:rPr>
      </w:pPr>
      <w:r>
        <w:rPr>
          <w:rFonts w:cs="David" w:ascii="Times New Roman" w:hAnsi="Times New Roman"/>
          <w:b/>
          <w:bCs/>
          <w:color w:val="FFFFFF"/>
          <w:spacing w:val="0"/>
          <w:sz w:val="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10" w:name="Nitan"/>
      <w:r>
        <w:rPr>
          <w:rFonts w:eastAsia="Times New Roman" w:cs="Times New Roman"/>
          <w:b/>
          <w:bCs/>
          <w:sz w:val="22"/>
          <w:szCs w:val="22"/>
          <w:rtl w:val="true"/>
        </w:rPr>
        <w:t xml:space="preserve">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ניתן</w:t>
      </w:r>
      <w:r>
        <w:rPr>
          <w:rFonts w:eastAsia="Times New Roman"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היום</w:t>
      </w:r>
      <w:r>
        <w:rPr>
          <w:rFonts w:eastAsia="Calibri"/>
          <w:b/>
          <w:bCs/>
          <w:sz w:val="22"/>
          <w:szCs w:val="22"/>
          <w:rtl w:val="true"/>
        </w:rPr>
        <w:t xml:space="preserve">, 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כ</w:t>
      </w:r>
      <w:r>
        <w:rPr>
          <w:rFonts w:eastAsia="Calibri"/>
          <w:b/>
          <w:bCs/>
          <w:sz w:val="22"/>
          <w:szCs w:val="22"/>
          <w:rtl w:val="true"/>
        </w:rPr>
        <w:t>"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ח</w:t>
      </w:r>
      <w:r>
        <w:rPr>
          <w:rFonts w:eastAsia="Times New Roman"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תמוז</w:t>
      </w:r>
      <w:r>
        <w:rPr>
          <w:rFonts w:eastAsia="Times New Roman"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תשפ</w:t>
      </w:r>
      <w:r>
        <w:rPr>
          <w:rFonts w:eastAsia="Calibri"/>
          <w:b/>
          <w:bCs/>
          <w:sz w:val="22"/>
          <w:szCs w:val="22"/>
          <w:rtl w:val="true"/>
        </w:rPr>
        <w:t>"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ג</w:t>
      </w:r>
      <w:r>
        <w:rPr>
          <w:rFonts w:eastAsia="Calibri"/>
          <w:b/>
          <w:bCs/>
          <w:sz w:val="22"/>
          <w:szCs w:val="22"/>
          <w:rtl w:val="true"/>
        </w:rPr>
        <w:t xml:space="preserve">, </w:t>
      </w:r>
      <w:r>
        <w:rPr>
          <w:rFonts w:eastAsia="Calibri"/>
          <w:b/>
          <w:bCs/>
          <w:sz w:val="22"/>
          <w:szCs w:val="22"/>
        </w:rPr>
        <w:t>17</w:t>
      </w:r>
      <w:r>
        <w:rPr>
          <w:rFonts w:eastAsia="Calibri"/>
          <w:b/>
          <w:bCs/>
          <w:sz w:val="22"/>
          <w:szCs w:val="22"/>
          <w:rtl w:val="true"/>
        </w:rPr>
        <w:t xml:space="preserve">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יולי</w:t>
      </w:r>
      <w:r>
        <w:rPr>
          <w:rFonts w:eastAsia="Times New Roman"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Calibri"/>
          <w:b/>
          <w:bCs/>
          <w:sz w:val="22"/>
          <w:szCs w:val="22"/>
        </w:rPr>
        <w:t>2023</w:t>
      </w:r>
      <w:r>
        <w:rPr>
          <w:rFonts w:eastAsia="Calibri"/>
          <w:b/>
          <w:bCs/>
          <w:sz w:val="22"/>
          <w:szCs w:val="22"/>
          <w:rtl w:val="true"/>
        </w:rPr>
        <w:t xml:space="preserve">,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במעמד</w:t>
      </w:r>
      <w:r>
        <w:rPr>
          <w:rFonts w:eastAsia="Times New Roman"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Calibri"/>
          <w:b/>
          <w:b/>
          <w:bCs/>
          <w:sz w:val="22"/>
          <w:sz w:val="22"/>
          <w:szCs w:val="22"/>
          <w:rtl w:val="true"/>
        </w:rPr>
        <w:t>הצדדים</w:t>
      </w:r>
      <w:r>
        <w:rPr>
          <w:rFonts w:eastAsia="Calibri"/>
          <w:b/>
          <w:bCs/>
          <w:sz w:val="22"/>
          <w:szCs w:val="22"/>
          <w:rtl w:val="true"/>
        </w:rPr>
        <w:t xml:space="preserve">. </w:t>
      </w:r>
      <w:bookmarkEnd w:id="10"/>
      <w:r>
        <w:rPr>
          <w:b/>
          <w:bCs/>
          <w:rtl w:val="true"/>
        </w:rPr>
        <w:tab/>
        <w:tab/>
        <w:tab/>
        <w:tab/>
        <w:tab/>
        <w:tab/>
        <w:tab/>
      </w:r>
      <w:r>
        <w:rPr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58027-12-21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איסלם חאג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0.a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case/28268880" TargetMode="External"/><Relationship Id="rId13" Type="http://schemas.openxmlformats.org/officeDocument/2006/relationships/hyperlink" Target="http://www.nevo.co.il/case/28513828" TargetMode="External"/><Relationship Id="rId14" Type="http://schemas.openxmlformats.org/officeDocument/2006/relationships/hyperlink" Target="http://www.nevo.co.il/case/27894608" TargetMode="External"/><Relationship Id="rId15" Type="http://schemas.openxmlformats.org/officeDocument/2006/relationships/hyperlink" Target="http://www.nevo.co.il/case/27911638" TargetMode="External"/><Relationship Id="rId16" Type="http://schemas.openxmlformats.org/officeDocument/2006/relationships/hyperlink" Target="http://www.nevo.co.il/case/28152132" TargetMode="External"/><Relationship Id="rId17" Type="http://schemas.openxmlformats.org/officeDocument/2006/relationships/hyperlink" Target="http://www.nevo.co.il/case/28452933" TargetMode="External"/><Relationship Id="rId18" Type="http://schemas.openxmlformats.org/officeDocument/2006/relationships/hyperlink" Target="http://www.nevo.co.il/case/27305799" TargetMode="External"/><Relationship Id="rId19" Type="http://schemas.openxmlformats.org/officeDocument/2006/relationships/hyperlink" Target="http://www.nevo.co.il/case/28660017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7697292" TargetMode="External"/><Relationship Id="rId23" Type="http://schemas.openxmlformats.org/officeDocument/2006/relationships/hyperlink" Target="http://www.nevo.co.il/case/22242436" TargetMode="External"/><Relationship Id="rId24" Type="http://schemas.openxmlformats.org/officeDocument/2006/relationships/hyperlink" Target="http://www.nevo.co.il/case/22294064" TargetMode="External"/><Relationship Id="rId25" Type="http://schemas.openxmlformats.org/officeDocument/2006/relationships/hyperlink" Target="http://www.nevo.co.il/case/28096675" TargetMode="External"/><Relationship Id="rId26" Type="http://schemas.openxmlformats.org/officeDocument/2006/relationships/hyperlink" Target="http://www.nevo.co.il/case/27603872" TargetMode="External"/><Relationship Id="rId27" Type="http://schemas.openxmlformats.org/officeDocument/2006/relationships/hyperlink" Target="http://www.nevo.co.il/case/27404359" TargetMode="External"/><Relationship Id="rId28" Type="http://schemas.openxmlformats.org/officeDocument/2006/relationships/hyperlink" Target="http://www.nevo.co.il/law/70301/340.a" TargetMode="External"/><Relationship Id="rId29" Type="http://schemas.openxmlformats.org/officeDocument/2006/relationships/hyperlink" Target="http://www.nevo.co.il/case/28152125" TargetMode="External"/><Relationship Id="rId30" Type="http://schemas.openxmlformats.org/officeDocument/2006/relationships/hyperlink" Target="http://www.nevo.co.il/case/26492590" TargetMode="External"/><Relationship Id="rId31" Type="http://schemas.openxmlformats.org/officeDocument/2006/relationships/hyperlink" Target="http://www.nevo.co.il/case/28096677" TargetMode="External"/><Relationship Id="rId32" Type="http://schemas.openxmlformats.org/officeDocument/2006/relationships/hyperlink" Target="http://www.nevo.co.il/case/28384638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2024-08-26T13:51:00Z</dcterms:created>
  <dc:creator> </dc:creator>
  <dc:description/>
  <cp:keywords/>
  <dc:language>en-IL</dc:language>
  <cp:lastModifiedBy>h1</cp:lastModifiedBy>
  <dcterms:modified xsi:type="dcterms:W3CDTF">2024-08-26T13:51:00Z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איסלם חאג' יחיא;אכראמה חאג' יחיא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28268880;28513828;27894608;27911638;28152132;28452933;27305799;28660017;7697292;22242436;22294064;28096675;27603872;27404359;28152125;26492590;28096677;28384638</vt:lpwstr>
  </property>
  <property fmtid="{D5CDD505-2E9C-101B-9397-08002B2CF9AE}" pid="9" name="CITY">
    <vt:lpwstr>מרכז</vt:lpwstr>
  </property>
  <property fmtid="{D5CDD505-2E9C-101B-9397-08002B2CF9AE}" pid="10" name="DATE">
    <vt:lpwstr>20230717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70301/144.b;340a.b.1;192;340a;340.a</vt:lpwstr>
  </property>
  <property fmtid="{D5CDD505-2E9C-101B-9397-08002B2CF9AE}" pid="15" name="LAWYER">
    <vt:lpwstr>ליטל שירי;חיים שוורצברג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58027</vt:lpwstr>
  </property>
  <property fmtid="{D5CDD505-2E9C-101B-9397-08002B2CF9AE}" pid="22" name="NEWPARTB">
    <vt:lpwstr>12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390020230717</vt:lpwstr>
  </property>
  <property fmtid="{D5CDD505-2E9C-101B-9397-08002B2CF9AE}" pid="34" name="TYPE_N_DATE">
    <vt:lpwstr>39020230717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