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58148-11-14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מלכה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רוזן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שמרי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מלכה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שטינלינג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מסארוה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אליקו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אלישקוב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244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275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499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0"/>
          <w:szCs w:val="30"/>
          <w:u w:val="single"/>
        </w:rPr>
      </w:pPr>
      <w:r>
        <w:rPr>
          <w:rFonts w:ascii="Arial" w:hAnsi="Arial" w:cs="Arial"/>
          <w:b/>
          <w:b/>
          <w:bCs/>
          <w:sz w:val="30"/>
          <w:sz w:val="30"/>
          <w:szCs w:val="30"/>
          <w:u w:val="single"/>
          <w:rtl w:val="true"/>
        </w:rPr>
        <w:t>פתח דבר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bookmarkStart w:id="7" w:name="ABSTRACT_START"/>
      <w:bookmarkEnd w:id="7"/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הבאות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Cs w:val="26"/>
            <w:u w:val="single"/>
          </w:rPr>
          <w:t>499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); </w:t>
      </w:r>
      <w:r>
        <w:rPr>
          <w:sz w:val="26"/>
          <w:sz w:val="26"/>
          <w:szCs w:val="26"/>
          <w:rtl w:val="true"/>
        </w:rPr>
        <w:t>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שיבוש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Cs w:val="26"/>
            <w:u w:val="single"/>
          </w:rPr>
          <w:t>244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Cs w:val="26"/>
            <w:u w:val="single"/>
          </w:rPr>
          <w:t>499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bookmarkStart w:id="8" w:name="ABSTRACT_END"/>
      <w:bookmarkEnd w:id="8"/>
      <w:r>
        <w:rPr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שיבוש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מהלכי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Cs w:val="26"/>
            <w:u w:val="single"/>
          </w:rPr>
          <w:t>244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Cs w:val="26"/>
            <w:u w:val="single"/>
          </w:rPr>
          <w:t>25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לשוטר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Cs w:val="26"/>
            <w:u w:val="single"/>
          </w:rPr>
          <w:t>275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09.11.14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שתמורתם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נפצים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אלחוטיים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משדרים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אלחוטיים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המטענים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ומששוטרים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בהימלטות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פראית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כשבידו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המטענים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מופרזת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שנחסם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חיפוש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הרביעית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נפץ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חשמלי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מקלטים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אלחוטיים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ומשדרים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אלחוטיים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30"/>
          <w:szCs w:val="30"/>
          <w:u w:val="single"/>
        </w:rPr>
      </w:pPr>
      <w:r>
        <w:rPr>
          <w:b/>
          <w:b/>
          <w:bCs/>
          <w:sz w:val="30"/>
          <w:sz w:val="30"/>
          <w:szCs w:val="30"/>
          <w:u w:val="single"/>
          <w:rtl w:val="true"/>
        </w:rPr>
        <w:t>הסדר</w:t>
      </w:r>
      <w:r>
        <w:rPr>
          <w:rFonts w:cs="Times New Roman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הטיעון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מוסכמת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כדלהלן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פרקליטו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שיעור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לגישתו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30"/>
          <w:szCs w:val="30"/>
          <w:u w:val="single"/>
        </w:rPr>
      </w:pPr>
      <w:r>
        <w:rPr>
          <w:b/>
          <w:b/>
          <w:bCs/>
          <w:sz w:val="30"/>
          <w:sz w:val="30"/>
          <w:szCs w:val="30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שאמרתי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פרקליטי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רבתית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משהנני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הנכבדים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נימקה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פרקליטיהם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הפרקליטים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הנכבדים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נעאמנה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השכילו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שהותוו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בסרגליק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שבסך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ונקלע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באקראי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בטבורו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בסרגליק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34"/>
          <w:szCs w:val="34"/>
          <w:u w:val="single"/>
        </w:rPr>
      </w:pPr>
      <w:r>
        <w:rPr>
          <w:b/>
          <w:b/>
          <w:bCs/>
          <w:sz w:val="30"/>
          <w:sz w:val="30"/>
          <w:szCs w:val="30"/>
          <w:u w:val="single"/>
          <w:rtl w:val="true"/>
        </w:rPr>
        <w:t>הערך</w:t>
      </w:r>
      <w:r>
        <w:rPr>
          <w:rFonts w:cs="Times New Roman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החברתי</w:t>
      </w:r>
      <w:r>
        <w:rPr>
          <w:rFonts w:cs="Times New Roman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הנפגע</w:t>
      </w:r>
      <w:r>
        <w:rPr>
          <w:rFonts w:cs="Times New Roman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ומידת</w:t>
      </w:r>
      <w:r>
        <w:rPr>
          <w:rFonts w:cs="Times New Roman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הפגיעה</w:t>
      </w:r>
      <w:r>
        <w:rPr>
          <w:rFonts w:cs="Times New Roman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בו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לקיפוח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פציעת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וגרימת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הערך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החברתי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המוגן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שנפגע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כתוצאה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ממעשי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</w:t>
      </w:r>
      <w:r>
        <w:rPr>
          <w:rFonts w:ascii="Calibri" w:hAnsi="Calibri" w:cs="Calibri"/>
          <w:sz w:val="26"/>
          <w:sz w:val="26"/>
          <w:szCs w:val="26"/>
          <w:rtl w:val="true"/>
        </w:rPr>
        <w:t>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 חייו ושלמות גופו של אדם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וכן שמירה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קניינו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והציבור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העניין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מידת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בערכים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המוגנים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גבוהה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/>
          <w:bCs/>
          <w:sz w:val="30"/>
          <w:sz w:val="30"/>
          <w:szCs w:val="30"/>
          <w:u w:val="single"/>
          <w:rtl w:val="true"/>
        </w:rPr>
        <w:t>מדיניות הענישה הנוהגת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tabs>
          <w:tab w:val="clear" w:pos="720"/>
          <w:tab w:val="left" w:pos="4110" w:leader="none"/>
        </w:tabs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sz w:val="26"/>
          <w:szCs w:val="26"/>
        </w:rPr>
        <w:t>7</w:t>
      </w:r>
      <w:r>
        <w:rPr>
          <w:rFonts w:cs="Calibri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>עיון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בפסיקה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הרלוונטית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מלמד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הורשעו הנאשמים </w:t>
      </w:r>
      <w:r>
        <w:rPr>
          <w:rFonts w:ascii="Calibri" w:hAnsi="Calibri" w:cs="Calibri"/>
          <w:sz w:val="26"/>
          <w:sz w:val="26"/>
          <w:szCs w:val="26"/>
          <w:rtl w:val="true"/>
        </w:rPr>
        <w:t>היא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רחבה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למדי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למצוא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פסקי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לכאן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ולכאן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התרשמתי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טיעוני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הצדדים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משקפים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טווח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המקובל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>אציין מספר פסקי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hyperlink r:id="rId24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6210/13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גונן 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פורסם במאגרים המשפטיים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המערער הורשע במסגרת הסדר טיעון בשתי עבירות של נשיאה והובלה של נשק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מטעני צינור תוצרת בית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ונדון ל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30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 מאסר לריצוי בפועל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 העליון דחה את הערעור על קולת העונש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תוך שעמד על המסוכנות הטמונה בעבירות מסוג דא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בית המשפט העליון ציין כי מדובר בסכנת נפשות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וכי יש למגר תופעה של סחר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נשיאה והובלה של נשק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כשמידת הרחמים צריכה להיות מופנית יותר אל הציבור הרחב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hyperlink r:id="rId25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11904-09-10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מרזוק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פורסם במאגרים המשפטיים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הנאשם הורשע אחרי ניהול הוכחות בעבירות של החזקת ונשיאת נשק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אקדח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הפרעה לשוטר ותקיפת שוטר בנסיבות מחמירות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בית המשפט גזר על הנאשם </w:t>
      </w:r>
      <w:r>
        <w:rPr>
          <w:rFonts w:cs="Calibri" w:ascii="Calibri" w:hAnsi="Calibri"/>
          <w:sz w:val="26"/>
          <w:szCs w:val="26"/>
        </w:rPr>
        <w:t>48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 מאסר בפועל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וציין כי עבירות נשק הפכו לנגע חמור שיש להילחם בו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hyperlink r:id="rId26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29839-07-11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צוברה ואח</w:t>
      </w:r>
      <w:r>
        <w:rPr>
          <w:rFonts w:cs="Calibri" w:ascii="Calibri" w:hAnsi="Calibri"/>
          <w:b/>
          <w:bCs/>
          <w:sz w:val="26"/>
          <w:szCs w:val="26"/>
          <w:rtl w:val="true"/>
        </w:rPr>
        <w:t>'</w:t>
      </w:r>
      <w:r>
        <w:rPr>
          <w:rFonts w:cs="Calibri" w:ascii="Calibri" w:hAnsi="Calibri"/>
          <w:sz w:val="26"/>
          <w:szCs w:val="26"/>
          <w:rtl w:val="true"/>
        </w:rPr>
        <w:t xml:space="preserve"> (</w:t>
      </w:r>
      <w:r>
        <w:rPr>
          <w:rFonts w:ascii="Calibri" w:hAnsi="Calibri" w:cs="Calibri"/>
          <w:sz w:val="26"/>
          <w:sz w:val="26"/>
          <w:szCs w:val="26"/>
          <w:rtl w:val="true"/>
        </w:rPr>
        <w:t>פורסם במאגרים המשפטיים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הנאשם הורשע במסגרת הסדר טיעון בעבירות של נשיאת נשק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מטען חבלה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 פזיזות ורשלנות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והפרעה לשוטר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המשפט גזר על הנאשם </w:t>
      </w:r>
      <w:r>
        <w:rPr>
          <w:rFonts w:cs="Calibri" w:ascii="Calibri" w:hAnsi="Calibri"/>
          <w:sz w:val="26"/>
          <w:szCs w:val="26"/>
        </w:rPr>
        <w:t>34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 מאסר בפועל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 שחזר והדגיש את הסכנה לחיי אדם הנובעת מעבירות נשק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hyperlink r:id="rId27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17237-02-12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אסולין ואח</w:t>
      </w:r>
      <w:r>
        <w:rPr>
          <w:rFonts w:cs="Calibri" w:ascii="Calibri" w:hAnsi="Calibri"/>
          <w:b/>
          <w:bCs/>
          <w:sz w:val="26"/>
          <w:szCs w:val="26"/>
          <w:rtl w:val="true"/>
        </w:rPr>
        <w:t>'</w:t>
      </w:r>
      <w:r>
        <w:rPr>
          <w:rFonts w:cs="Calibri" w:ascii="Calibri" w:hAnsi="Calibri"/>
          <w:sz w:val="26"/>
          <w:szCs w:val="26"/>
          <w:rtl w:val="true"/>
        </w:rPr>
        <w:t xml:space="preserve"> (</w:t>
      </w:r>
      <w:r>
        <w:rPr>
          <w:rFonts w:ascii="Calibri" w:hAnsi="Calibri" w:cs="Calibri"/>
          <w:sz w:val="26"/>
          <w:sz w:val="26"/>
          <w:szCs w:val="26"/>
          <w:rtl w:val="true"/>
        </w:rPr>
        <w:t>פורסם במאגרים המשפטיים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 הורשע במסגרת הסדר טיעון בעבירות של קשירת קשר לפשע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נשיאה והובלת נשק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מטען חבלה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והסתייעות ברכב לביצוע פשע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המשפט גזר על הנאשם </w:t>
      </w:r>
      <w:r>
        <w:rPr>
          <w:rFonts w:cs="Calibri" w:ascii="Calibri" w:hAnsi="Calibri"/>
          <w:sz w:val="26"/>
          <w:szCs w:val="26"/>
        </w:rPr>
        <w:t>30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 מאסר לריצוי בפועל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תוך שציין כי בעבירות נשק יש ליתן משקל בכורה להגנה על הציבור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hyperlink r:id="rId28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8095-08-14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מנחם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פורסם במאגרים המשפטיים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 הורשע במסגרת הסדר טיעון ב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עבירות של החזקת נשק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אקדח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לבנות חבלה ונפצים</w:t>
      </w:r>
      <w:r>
        <w:rPr>
          <w:rFonts w:cs="Calibri" w:ascii="Calibri" w:hAnsi="Calibri"/>
          <w:sz w:val="26"/>
          <w:szCs w:val="26"/>
          <w:rtl w:val="true"/>
        </w:rPr>
        <w:t xml:space="preserve">).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המשפט גזר על הנאשם </w:t>
      </w:r>
      <w:r>
        <w:rPr>
          <w:rFonts w:cs="Calibri" w:ascii="Calibri" w:hAnsi="Calibri"/>
          <w:sz w:val="26"/>
          <w:szCs w:val="26"/>
        </w:rPr>
        <w:t>36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 מאסר בפועל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hyperlink r:id="rId29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18318-08-13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בנסימון ואח</w:t>
      </w:r>
      <w:r>
        <w:rPr>
          <w:rFonts w:cs="Calibri" w:ascii="Calibri" w:hAnsi="Calibri"/>
          <w:b/>
          <w:bCs/>
          <w:sz w:val="26"/>
          <w:szCs w:val="26"/>
          <w:rtl w:val="true"/>
        </w:rPr>
        <w:t>'</w:t>
      </w:r>
      <w:r>
        <w:rPr>
          <w:rFonts w:cs="Calibri" w:ascii="Calibri" w:hAnsi="Calibri"/>
          <w:sz w:val="26"/>
          <w:szCs w:val="26"/>
          <w:rtl w:val="true"/>
        </w:rPr>
        <w:t xml:space="preserve"> (</w:t>
      </w:r>
      <w:r>
        <w:rPr>
          <w:rFonts w:ascii="Calibri" w:hAnsi="Calibri" w:cs="Calibri"/>
          <w:sz w:val="26"/>
          <w:sz w:val="26"/>
          <w:szCs w:val="26"/>
          <w:rtl w:val="true"/>
        </w:rPr>
        <w:t>פורסם במאגרים המשפטיים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הנאשם הורשע במסגרת הסדר טיעון בעבירות של סיוע לעסקה אחרת בנשק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מטעני חבלה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והפרעה לשוטר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בית המשפט גזר על הנאשם </w:t>
      </w:r>
      <w:r>
        <w:rPr>
          <w:rFonts w:cs="Calibri" w:ascii="Calibri" w:hAnsi="Calibri"/>
          <w:sz w:val="26"/>
          <w:szCs w:val="26"/>
        </w:rPr>
        <w:t>26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 מאסר בפועל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/>
          <w:bCs/>
          <w:sz w:val="30"/>
          <w:sz w:val="30"/>
          <w:szCs w:val="30"/>
          <w:u w:val="single"/>
          <w:rtl w:val="true"/>
        </w:rPr>
        <w:t>נסיבות הקשורות לביצוע העבירה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9</w:t>
      </w:r>
      <w:r>
        <w:rPr>
          <w:rFonts w:cs="Calibri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נאשמים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קשרו קשר לביצוע פשע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נאשמים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ביצעו עסקה אחרת בנשק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נאשם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החזיק נשק ונאשם 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 בסיוע בעסקה אחרת בנשק והפרעה לשוטר במילוי תפקידו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בנוסף הורשעו נאשמים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בשיבוש מהלכי משפט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מדובר בצעירים שהחזיקו מטעני חבלה למטרות כאלה או אחרות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מטעני חבלה שמשמעותם הינה מוות והרס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הנאשמים סיכנו את חייהם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וביתר חומרה סיכנו חיי חפים מפשע שמטבע העולם שהו בסביבתם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 במטעני חבלה משמעותיים ביותר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כל מטען בפני עצמו ובטח ובטח כל המטענים שהוחזקו יחדיו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368"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/>
          <w:bCs/>
          <w:sz w:val="30"/>
          <w:sz w:val="30"/>
          <w:szCs w:val="30"/>
          <w:u w:val="single"/>
          <w:rtl w:val="true"/>
        </w:rPr>
        <w:t>קביעת מתחם הענישה ההולם</w:t>
      </w:r>
    </w:p>
    <w:p>
      <w:pPr>
        <w:pStyle w:val="Normal"/>
        <w:spacing w:lineRule="auto" w:line="360"/>
        <w:ind w:start="368"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eastAsia="Calibri" w:cs="Calibri" w:ascii="Calibri" w:hAnsi="Calibri"/>
          <w:b/>
          <w:bCs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10</w:t>
      </w:r>
      <w:r>
        <w:rPr>
          <w:rFonts w:cs="Calibri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>בהתחשב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במכלול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השיקולים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פורטו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ההולם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הנשק </w:t>
      </w:r>
      <w:r>
        <w:rPr>
          <w:rFonts w:ascii="Calibri" w:hAnsi="Calibri" w:cs="Calibri"/>
          <w:sz w:val="26"/>
          <w:sz w:val="26"/>
          <w:szCs w:val="26"/>
          <w:rtl w:val="true"/>
        </w:rPr>
        <w:t>נע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80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ההולם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שיבוש מהלכי משפט </w:t>
      </w:r>
      <w:r>
        <w:rPr>
          <w:rFonts w:ascii="Calibri" w:hAnsi="Calibri" w:cs="Calibri"/>
          <w:sz w:val="26"/>
          <w:sz w:val="26"/>
          <w:szCs w:val="26"/>
          <w:rtl w:val="true"/>
        </w:rPr>
        <w:t>נע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לבין </w:t>
      </w:r>
      <w:r>
        <w:rPr>
          <w:rFonts w:cs="Calibri" w:ascii="Calibri" w:hAnsi="Calibri"/>
          <w:sz w:val="26"/>
          <w:szCs w:val="26"/>
        </w:rPr>
        <w:t>48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העונש ההולם לעבירה של הפרעה לשוטר במילוי תפקידו נע בין 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 ל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24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/>
          <w:bCs/>
          <w:sz w:val="30"/>
          <w:sz w:val="30"/>
          <w:szCs w:val="30"/>
          <w:u w:val="single"/>
          <w:rtl w:val="true"/>
        </w:rPr>
        <w:t>נסיבות שאינן קשורות בביצוע העבירות</w:t>
      </w:r>
    </w:p>
    <w:p>
      <w:pPr>
        <w:pStyle w:val="Normal"/>
        <w:spacing w:lineRule="auto" w:line="360"/>
        <w:ind w:start="368"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sz w:val="26"/>
          <w:szCs w:val="26"/>
        </w:rPr>
        <w:t>11</w:t>
      </w:r>
      <w:r>
        <w:rPr>
          <w:rFonts w:cs="Calibri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>משקבעתי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ההולם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לגזור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המתאים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בהתחשב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קשורות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 xml:space="preserve">נאשם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הינו בן </w:t>
      </w:r>
      <w:r>
        <w:rPr>
          <w:rFonts w:cs="Calibri" w:ascii="Calibri" w:hAnsi="Calibri"/>
          <w:sz w:val="26"/>
          <w:szCs w:val="26"/>
        </w:rPr>
        <w:t>28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זה לו מאסרו הראשון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נאשם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 בעבר בבית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ascii="Calibri" w:hAnsi="Calibri" w:cs="Calibri"/>
          <w:sz w:val="26"/>
          <w:sz w:val="26"/>
          <w:szCs w:val="26"/>
          <w:rtl w:val="true"/>
        </w:rPr>
        <w:t>משפט שלום בנתניה בהחזקה ושימוש בסמים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 xml:space="preserve">נאשם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הינו בן </w:t>
      </w:r>
      <w:r>
        <w:rPr>
          <w:rFonts w:cs="Calibri" w:ascii="Calibri" w:hAnsi="Calibri"/>
          <w:sz w:val="26"/>
          <w:szCs w:val="26"/>
        </w:rPr>
        <w:t>26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נשוי פלוס שני ילדים קטנים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לנאשם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הרשעה בבית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ascii="Calibri" w:hAnsi="Calibri" w:cs="Calibri"/>
          <w:sz w:val="26"/>
          <w:sz w:val="26"/>
          <w:szCs w:val="26"/>
          <w:rtl w:val="true"/>
        </w:rPr>
        <w:t>משפט שלום ת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א בהפרעה לשוטר במילוי תפקידו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 xml:space="preserve">נאשם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הינו בן </w:t>
      </w:r>
      <w:r>
        <w:rPr>
          <w:rFonts w:cs="Calibri" w:ascii="Calibri" w:hAnsi="Calibri"/>
          <w:sz w:val="26"/>
          <w:szCs w:val="26"/>
        </w:rPr>
        <w:t>27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נשוי פלוס שני ילדים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עברו ללא רבב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מתפרנס בעבודה בסופר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ascii="Calibri" w:hAnsi="Calibri" w:cs="Calibri"/>
          <w:sz w:val="26"/>
          <w:sz w:val="26"/>
          <w:szCs w:val="26"/>
          <w:rtl w:val="true"/>
        </w:rPr>
        <w:t>מרקט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ואליבא דפרקליטו הנכבד מצבו הכלכלי קשה ביותר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 xml:space="preserve">נאשם 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הינו בן </w:t>
      </w:r>
      <w:r>
        <w:rPr>
          <w:rFonts w:cs="Calibri" w:ascii="Calibri" w:hAnsi="Calibri"/>
          <w:sz w:val="26"/>
          <w:szCs w:val="26"/>
        </w:rPr>
        <w:t>25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עברו הפלילי כמפורט ב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ת</w:t>
      </w:r>
      <w:r>
        <w:rPr>
          <w:rFonts w:cs="Calibri" w:ascii="Calibri" w:hAnsi="Calibri"/>
          <w:b/>
          <w:bCs/>
          <w:sz w:val="26"/>
          <w:szCs w:val="26"/>
          <w:rtl w:val="true"/>
        </w:rPr>
        <w:t>/</w:t>
      </w:r>
      <w:r>
        <w:rPr>
          <w:rFonts w:cs="Calibri" w:ascii="Calibri" w:hAnsi="Calibri"/>
          <w:b/>
          <w:bCs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נאשם 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 בעבירות תקיפת שוטר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חבלה חמורה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 רכוש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סמים ונדון בעבר למאסרים לריצוי בפועל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לזקוף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לזכות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כל הנאשמים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הודאתם באשמה ונטילת אחריות על שכמם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/>
          <w:bCs/>
          <w:sz w:val="30"/>
          <w:sz w:val="30"/>
          <w:szCs w:val="30"/>
          <w:u w:val="single"/>
          <w:rtl w:val="true"/>
        </w:rPr>
        <w:t>סוף דבר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sz w:val="26"/>
          <w:szCs w:val="26"/>
        </w:rPr>
        <w:t>12</w:t>
      </w:r>
      <w:r>
        <w:rPr>
          <w:rFonts w:cs="Calibri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ששמעתי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טיעוני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הצדדים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לעונש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ושקלתי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השיקולים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הרלוונטיים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לגזור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הנאשמים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בהם הורשעו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הבאים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  <w:sz w:val="26"/>
          <w:szCs w:val="26"/>
          <w:u w:val="single"/>
        </w:rPr>
      </w:pPr>
      <w:r>
        <w:rPr>
          <w:rFonts w:ascii="Calibri" w:hAnsi="Calibri" w:cs="Calibri"/>
          <w:sz w:val="26"/>
          <w:sz w:val="26"/>
          <w:szCs w:val="26"/>
          <w:u w:val="single"/>
          <w:rtl w:val="true"/>
        </w:rPr>
        <w:t xml:space="preserve">נאשם </w:t>
      </w:r>
      <w:r>
        <w:rPr>
          <w:rFonts w:cs="Calibri" w:ascii="Calibri" w:hAnsi="Calibri"/>
          <w:sz w:val="26"/>
          <w:szCs w:val="26"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  <w:u w:val="single"/>
        </w:rPr>
      </w:pPr>
      <w:r>
        <w:rPr>
          <w:rFonts w:cs="Calibri" w:ascii="Calibri" w:hAnsi="Calibri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א</w:t>
      </w:r>
      <w:r>
        <w:rPr>
          <w:rFonts w:cs="Calibri" w:ascii="Calibri" w:hAnsi="Calibri"/>
          <w:sz w:val="26"/>
          <w:szCs w:val="26"/>
          <w:rtl w:val="true"/>
        </w:rPr>
        <w:t>.</w:t>
        <w:tab/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 מאסר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מתוכן 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שנים לריצוי בפועל החל מיום </w:t>
      </w:r>
      <w:r>
        <w:rPr>
          <w:rFonts w:cs="Calibri" w:ascii="Calibri" w:hAnsi="Calibri"/>
          <w:sz w:val="26"/>
          <w:szCs w:val="26"/>
        </w:rPr>
        <w:t>09.11.14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והיתרה על תנאי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שלא יעבור במשך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שנים עבירה לפי </w:t>
      </w:r>
      <w:hyperlink r:id="rId30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כמו 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הנני מטיל על הנאשם </w:t>
      </w:r>
      <w:r>
        <w:rPr>
          <w:rFonts w:cs="Calibri" w:ascii="Calibri" w:hAnsi="Calibri"/>
          <w:sz w:val="26"/>
          <w:szCs w:val="26"/>
        </w:rPr>
        <w:t>12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 מאסר על תנאי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שלא יעבור במשך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שנים עבירה לפי </w:t>
      </w:r>
      <w:hyperlink r:id="rId31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244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הנני מטיל על נאשם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קנס כספי בסך </w:t>
      </w:r>
      <w:r>
        <w:rPr>
          <w:rFonts w:cs="Calibri" w:ascii="Calibri" w:hAnsi="Calibri"/>
          <w:sz w:val="26"/>
          <w:szCs w:val="26"/>
        </w:rPr>
        <w:t>5,000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או 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 מאסר תמורתו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הקנס ישולם עד יום </w:t>
      </w:r>
      <w:r>
        <w:rPr>
          <w:rFonts w:cs="Calibri" w:ascii="Calibri" w:hAnsi="Calibri"/>
          <w:sz w:val="26"/>
          <w:szCs w:val="26"/>
        </w:rPr>
        <w:t>01.09.15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6"/>
          <w:szCs w:val="26"/>
          <w:u w:val="single"/>
        </w:rPr>
      </w:pPr>
      <w:r>
        <w:rPr>
          <w:rFonts w:ascii="Calibri" w:hAnsi="Calibri" w:cs="Calibri"/>
          <w:sz w:val="26"/>
          <w:sz w:val="26"/>
          <w:szCs w:val="26"/>
          <w:u w:val="single"/>
          <w:rtl w:val="true"/>
        </w:rPr>
        <w:t xml:space="preserve">נאשם </w:t>
      </w:r>
      <w:r>
        <w:rPr>
          <w:rFonts w:cs="Calibri" w:ascii="Calibri" w:hAnsi="Calibri"/>
          <w:sz w:val="26"/>
          <w:szCs w:val="26"/>
          <w:u w:val="single"/>
        </w:rPr>
        <w:t>2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6"/>
          <w:szCs w:val="26"/>
          <w:u w:val="single"/>
        </w:rPr>
      </w:pPr>
      <w:r>
        <w:rPr>
          <w:rFonts w:cs="Calibri" w:ascii="Calibri" w:hAnsi="Calibri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א</w:t>
      </w:r>
      <w:r>
        <w:rPr>
          <w:rFonts w:cs="Calibri" w:ascii="Calibri" w:hAnsi="Calibri"/>
          <w:sz w:val="26"/>
          <w:szCs w:val="26"/>
          <w:rtl w:val="true"/>
        </w:rPr>
        <w:t>.</w:t>
        <w:tab/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 מאסר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מתוכן 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שנים לריצוי בפועל החל מיום </w:t>
      </w:r>
      <w:r>
        <w:rPr>
          <w:rFonts w:cs="Calibri" w:ascii="Calibri" w:hAnsi="Calibri"/>
          <w:sz w:val="26"/>
          <w:szCs w:val="26"/>
        </w:rPr>
        <w:t>09.11.14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והיתרה על תנאי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שלא יעבור במשך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שנים עבירה לפי </w:t>
      </w:r>
      <w:hyperlink r:id="rId32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הנני מטיל על נאשם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קנס כספי בסך </w:t>
      </w:r>
      <w:r>
        <w:rPr>
          <w:rFonts w:cs="Calibri" w:ascii="Calibri" w:hAnsi="Calibri"/>
          <w:sz w:val="26"/>
          <w:szCs w:val="26"/>
        </w:rPr>
        <w:t>5,000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או 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 מאסר תמורתו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הקנס ישולם עד יום </w:t>
      </w:r>
      <w:r>
        <w:rPr>
          <w:rFonts w:cs="Calibri" w:ascii="Calibri" w:hAnsi="Calibri"/>
          <w:sz w:val="26"/>
          <w:szCs w:val="26"/>
        </w:rPr>
        <w:t>01.09.15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6"/>
          <w:szCs w:val="26"/>
          <w:u w:val="single"/>
        </w:rPr>
      </w:pPr>
      <w:r>
        <w:rPr>
          <w:rFonts w:ascii="Calibri" w:hAnsi="Calibri" w:cs="Calibri"/>
          <w:sz w:val="26"/>
          <w:sz w:val="26"/>
          <w:szCs w:val="26"/>
          <w:u w:val="single"/>
          <w:rtl w:val="true"/>
        </w:rPr>
        <w:t xml:space="preserve">נאשם </w:t>
      </w:r>
      <w:r>
        <w:rPr>
          <w:rFonts w:cs="Calibri" w:ascii="Calibri" w:hAnsi="Calibri"/>
          <w:sz w:val="26"/>
          <w:szCs w:val="26"/>
          <w:u w:val="single"/>
        </w:rPr>
        <w:t>3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6"/>
          <w:szCs w:val="26"/>
          <w:u w:val="single"/>
        </w:rPr>
      </w:pPr>
      <w:r>
        <w:rPr>
          <w:rFonts w:cs="Calibri" w:ascii="Calibri" w:hAnsi="Calibri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א</w:t>
      </w:r>
      <w:r>
        <w:rPr>
          <w:rFonts w:cs="Calibri" w:ascii="Calibri" w:hAnsi="Calibri"/>
          <w:sz w:val="26"/>
          <w:szCs w:val="26"/>
          <w:rtl w:val="true"/>
        </w:rPr>
        <w:t>.</w:t>
        <w:tab/>
      </w:r>
      <w:r>
        <w:rPr>
          <w:rFonts w:cs="Calibri" w:ascii="Calibri" w:hAnsi="Calibri"/>
          <w:sz w:val="26"/>
          <w:szCs w:val="26"/>
        </w:rPr>
        <w:t>60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 מאסר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מתוכם </w:t>
      </w:r>
      <w:r>
        <w:rPr>
          <w:rFonts w:cs="Calibri" w:ascii="Calibri" w:hAnsi="Calibri"/>
          <w:sz w:val="26"/>
          <w:szCs w:val="26"/>
        </w:rPr>
        <w:t>45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חודשים לריצוי בפועל החל מיום </w:t>
      </w:r>
      <w:r>
        <w:rPr>
          <w:rFonts w:cs="Calibri" w:ascii="Calibri" w:hAnsi="Calibri"/>
          <w:sz w:val="26"/>
          <w:szCs w:val="26"/>
        </w:rPr>
        <w:t>09.11.14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והיתרה על תנאי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שלא יעבור במשך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 ע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 xml:space="preserve">בירה לפי </w:t>
      </w:r>
      <w:hyperlink r:id="rId33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כמו 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הנני מטיל על הנאשם </w:t>
      </w:r>
      <w:r>
        <w:rPr>
          <w:rFonts w:cs="Calibri" w:ascii="Calibri" w:hAnsi="Calibri"/>
          <w:sz w:val="26"/>
          <w:szCs w:val="26"/>
        </w:rPr>
        <w:t>12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 מאסר על תנאי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שלא יעבור במשך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שנים עבירה לפי </w:t>
      </w:r>
      <w:hyperlink r:id="rId34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244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הנני מטיל על נאשם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קנס כספי בסך </w:t>
      </w:r>
      <w:r>
        <w:rPr>
          <w:rFonts w:cs="Calibri" w:ascii="Calibri" w:hAnsi="Calibri"/>
          <w:sz w:val="26"/>
          <w:szCs w:val="26"/>
        </w:rPr>
        <w:t>4,000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או 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 מאסר תמורתו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הקנס ישולם עד יום </w:t>
      </w:r>
      <w:r>
        <w:rPr>
          <w:rFonts w:cs="Calibri" w:ascii="Calibri" w:hAnsi="Calibri"/>
          <w:sz w:val="26"/>
          <w:szCs w:val="26"/>
        </w:rPr>
        <w:t>01.09.15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z w:val="26"/>
          <w:szCs w:val="26"/>
          <w:u w:val="single"/>
        </w:rPr>
      </w:pPr>
      <w:r>
        <w:rPr>
          <w:rFonts w:ascii="Calibri" w:hAnsi="Calibri" w:cs="Calibri"/>
          <w:sz w:val="26"/>
          <w:sz w:val="26"/>
          <w:szCs w:val="26"/>
          <w:u w:val="single"/>
          <w:rtl w:val="true"/>
        </w:rPr>
        <w:t xml:space="preserve">נאשם </w:t>
      </w:r>
      <w:r>
        <w:rPr>
          <w:rFonts w:cs="Calibri" w:ascii="Calibri" w:hAnsi="Calibri"/>
          <w:sz w:val="26"/>
          <w:szCs w:val="26"/>
          <w:u w:val="single"/>
        </w:rPr>
        <w:t>4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6"/>
          <w:szCs w:val="26"/>
          <w:u w:val="single"/>
        </w:rPr>
      </w:pPr>
      <w:r>
        <w:rPr>
          <w:rFonts w:cs="Calibri" w:ascii="Calibri" w:hAnsi="Calibri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א</w:t>
      </w:r>
      <w:r>
        <w:rPr>
          <w:rFonts w:cs="Calibri" w:ascii="Calibri" w:hAnsi="Calibri"/>
          <w:sz w:val="26"/>
          <w:szCs w:val="26"/>
          <w:rtl w:val="true"/>
        </w:rPr>
        <w:t>.</w:t>
        <w:tab/>
      </w:r>
      <w:r>
        <w:rPr>
          <w:rFonts w:cs="Calibri" w:ascii="Calibri" w:hAnsi="Calibri"/>
          <w:sz w:val="26"/>
          <w:szCs w:val="26"/>
        </w:rPr>
        <w:t>52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 מאסר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מתוכם </w:t>
      </w:r>
      <w:r>
        <w:rPr>
          <w:rFonts w:cs="Calibri" w:ascii="Calibri" w:hAnsi="Calibri"/>
          <w:sz w:val="26"/>
          <w:szCs w:val="26"/>
        </w:rPr>
        <w:t>40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חודשים לריצוי בפועל החל מיום </w:t>
      </w:r>
      <w:r>
        <w:rPr>
          <w:rFonts w:cs="Calibri" w:ascii="Calibri" w:hAnsi="Calibri"/>
          <w:sz w:val="26"/>
          <w:szCs w:val="26"/>
        </w:rPr>
        <w:t>09.11.14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והיתרה על תנאי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שלא יעבור במשך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שנים עבירה לפי </w:t>
      </w:r>
      <w:hyperlink r:id="rId35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כמו 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הנני מטיל על הנאשם </w:t>
      </w:r>
      <w:r>
        <w:rPr>
          <w:rFonts w:cs="Calibri" w:ascii="Calibri" w:hAnsi="Calibri"/>
          <w:sz w:val="26"/>
          <w:szCs w:val="26"/>
        </w:rPr>
        <w:t>12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 מאסר על תנאי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שלא יעבור במשך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שנים עבירה לפי </w:t>
      </w:r>
      <w:hyperlink r:id="rId36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275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.</w:t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הנני מטיל על נאשם 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קנס כספי בסך </w:t>
      </w:r>
      <w:r>
        <w:rPr>
          <w:rFonts w:cs="Calibri" w:ascii="Calibri" w:hAnsi="Calibri"/>
          <w:sz w:val="26"/>
          <w:szCs w:val="26"/>
        </w:rPr>
        <w:t>3,000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או 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 מאסר תמורתו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הקנס ישולם עד יום </w:t>
      </w:r>
      <w:r>
        <w:rPr>
          <w:rFonts w:cs="Calibri" w:ascii="Calibri" w:hAnsi="Calibri"/>
          <w:sz w:val="26"/>
          <w:szCs w:val="26"/>
        </w:rPr>
        <w:t>01.09.15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 xml:space="preserve">הכספים שנתפסו אצל הנאשמים במהלך החקירה </w:t>
      </w:r>
      <w:r>
        <w:rPr>
          <w:rFonts w:ascii="Calibri" w:hAnsi="Calibri" w:cs="Calibri"/>
          <w:sz w:val="26"/>
          <w:sz w:val="26"/>
          <w:szCs w:val="26"/>
          <w:rtl w:val="true"/>
        </w:rPr>
        <w:t>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יחולטו לטובת המדינה</w:t>
      </w:r>
      <w:r>
        <w:rPr>
          <w:rFonts w:cs="Calibri" w:ascii="Calibri" w:hAnsi="Calibri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הרכוש שנתפס אצל הנאשמים יוחזר לבעליו ו</w:t>
      </w:r>
      <w:r>
        <w:rPr>
          <w:rFonts w:cs="Calibri" w:ascii="Calibri" w:hAnsi="Calibri"/>
          <w:sz w:val="26"/>
          <w:szCs w:val="26"/>
          <w:rtl w:val="true"/>
        </w:rPr>
        <w:t>/</w:t>
      </w:r>
      <w:r>
        <w:rPr>
          <w:rFonts w:ascii="Calibri" w:hAnsi="Calibri" w:cs="Calibri"/>
          <w:sz w:val="26"/>
          <w:sz w:val="26"/>
          <w:szCs w:val="26"/>
          <w:rtl w:val="true"/>
        </w:rPr>
        <w:t>או יושמד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color w:val="FFFFFF"/>
          <w:sz w:val="2"/>
          <w:szCs w:val="2"/>
        </w:rPr>
        <w:t>5129371</w:t>
      </w:r>
      <w:r>
        <w:rPr>
          <w:rFonts w:ascii="Calibri" w:hAnsi="Calibri" w:cs="Calibri"/>
          <w:sz w:val="26"/>
          <w:sz w:val="26"/>
          <w:szCs w:val="26"/>
          <w:rtl w:val="true"/>
        </w:rPr>
        <w:t>זכות ערעור לבית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המשפט העליון תוך </w:t>
      </w:r>
      <w:r>
        <w:rPr>
          <w:rFonts w:cs="Calibri" w:ascii="Calibri" w:hAnsi="Calibri"/>
          <w:sz w:val="26"/>
          <w:szCs w:val="26"/>
        </w:rPr>
        <w:t>45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ימים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tbl>
      <w:tblPr>
        <w:tblpPr w:vertAnchor="text" w:horzAnchor="margin" w:tblpXSpec="left" w:rightFromText="180" w:tblpY="82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ניתן והודע היום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 </w:t>
            </w:r>
            <w:r>
              <w:rPr>
                <w:rFonts w:cs="Arial" w:ascii="Arial" w:hAnsi="Arial"/>
                <w:b/>
                <w:bCs/>
              </w:rPr>
              <w:t>15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cs="Arial" w:ascii="Arial" w:hAnsi="Arial"/>
                <w:b/>
                <w:bCs/>
              </w:rPr>
              <w:t>17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יוני </w:t>
            </w:r>
            <w:r>
              <w:rPr>
                <w:rFonts w:cs="Arial" w:ascii="Arial" w:hAnsi="Arial"/>
                <w:b/>
                <w:bCs/>
              </w:rPr>
              <w:t>2015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בנוכחות הצדדים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רוזן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דוד רוזן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58148-11-14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שמרי מלכה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law/70301/499" TargetMode="External"/><Relationship Id="rId11" Type="http://schemas.openxmlformats.org/officeDocument/2006/relationships/hyperlink" Target="http://www.nevo.co.il/law/70301/49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244" TargetMode="External"/><Relationship Id="rId16" Type="http://schemas.openxmlformats.org/officeDocument/2006/relationships/hyperlink" Target="http://www.nevo.co.il/law/70301/499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244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144.b2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law/70301/275" TargetMode="External"/><Relationship Id="rId24" Type="http://schemas.openxmlformats.org/officeDocument/2006/relationships/hyperlink" Target="http://www.nevo.co.il/case/10485614" TargetMode="External"/><Relationship Id="rId25" Type="http://schemas.openxmlformats.org/officeDocument/2006/relationships/hyperlink" Target="http://www.nevo.co.il/case/5810378" TargetMode="External"/><Relationship Id="rId26" Type="http://schemas.openxmlformats.org/officeDocument/2006/relationships/hyperlink" Target="http://www.nevo.co.il/case/2822476" TargetMode="External"/><Relationship Id="rId27" Type="http://schemas.openxmlformats.org/officeDocument/2006/relationships/hyperlink" Target="http://www.nevo.co.il/case/4440977" TargetMode="External"/><Relationship Id="rId28" Type="http://schemas.openxmlformats.org/officeDocument/2006/relationships/hyperlink" Target="http://www.nevo.co.il/case/17905721" TargetMode="External"/><Relationship Id="rId29" Type="http://schemas.openxmlformats.org/officeDocument/2006/relationships/hyperlink" Target="http://www.nevo.co.il/case/7945551" TargetMode="External"/><Relationship Id="rId30" Type="http://schemas.openxmlformats.org/officeDocument/2006/relationships/hyperlink" Target="http://www.nevo.co.il/law/70301/144" TargetMode="External"/><Relationship Id="rId31" Type="http://schemas.openxmlformats.org/officeDocument/2006/relationships/hyperlink" Target="http://www.nevo.co.il/law/70301/244" TargetMode="External"/><Relationship Id="rId32" Type="http://schemas.openxmlformats.org/officeDocument/2006/relationships/hyperlink" Target="http://www.nevo.co.il/law/70301/144" TargetMode="External"/><Relationship Id="rId33" Type="http://schemas.openxmlformats.org/officeDocument/2006/relationships/hyperlink" Target="http://www.nevo.co.il/law/70301/144" TargetMode="External"/><Relationship Id="rId34" Type="http://schemas.openxmlformats.org/officeDocument/2006/relationships/hyperlink" Target="http://www.nevo.co.il/law/70301/244" TargetMode="External"/><Relationship Id="rId35" Type="http://schemas.openxmlformats.org/officeDocument/2006/relationships/hyperlink" Target="http://www.nevo.co.il/law/70301/144" TargetMode="External"/><Relationship Id="rId36" Type="http://schemas.openxmlformats.org/officeDocument/2006/relationships/hyperlink" Target="http://www.nevo.co.il/law/70301/275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2017-09-28T10:58:00Z</dcterms:created>
  <dc:creator> </dc:creator>
  <dc:description/>
  <cp:keywords/>
  <dc:language>en-IL</dc:language>
  <cp:lastModifiedBy>run</cp:lastModifiedBy>
  <dcterms:modified xsi:type="dcterms:W3CDTF">2017-09-28T10:58:00Z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שמרי מלכה;אבי שטינלינג;אחמד מסארוה;אליקו אלישקוב</vt:lpwstr>
  </property>
  <property fmtid="{D5CDD505-2E9C-101B-9397-08002B2CF9AE}" pid="4" name="CASESLISTTMP1">
    <vt:lpwstr>10485614;5810378;2822476;4440977;17905721;7945551</vt:lpwstr>
  </property>
  <property fmtid="{D5CDD505-2E9C-101B-9397-08002B2CF9AE}" pid="5" name="CITY">
    <vt:lpwstr>ת"א</vt:lpwstr>
  </property>
  <property fmtid="{D5CDD505-2E9C-101B-9397-08002B2CF9AE}" pid="6" name="DATE">
    <vt:lpwstr>20150617</vt:lpwstr>
  </property>
  <property fmtid="{D5CDD505-2E9C-101B-9397-08002B2CF9AE}" pid="7" name="ISABSTRACT">
    <vt:lpwstr>Y</vt:lpwstr>
  </property>
  <property fmtid="{D5CDD505-2E9C-101B-9397-08002B2CF9AE}" pid="8" name="JUDGE">
    <vt:lpwstr>דוד רוזן</vt:lpwstr>
  </property>
  <property fmtid="{D5CDD505-2E9C-101B-9397-08002B2CF9AE}" pid="9" name="LAWLISTTMP1">
    <vt:lpwstr>70301/499:2;144.b2:3;144.b:2;244:4;144.a;025;275:2;144:4</vt:lpwstr>
  </property>
  <property fmtid="{D5CDD505-2E9C-101B-9397-08002B2CF9AE}" pid="10" name="NEWPARTA">
    <vt:lpwstr>58148</vt:lpwstr>
  </property>
  <property fmtid="{D5CDD505-2E9C-101B-9397-08002B2CF9AE}" pid="11" name="NEWPARTB">
    <vt:lpwstr>11</vt:lpwstr>
  </property>
  <property fmtid="{D5CDD505-2E9C-101B-9397-08002B2CF9AE}" pid="12" name="NEWPARTC">
    <vt:lpwstr>14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390020150617</vt:lpwstr>
  </property>
  <property fmtid="{D5CDD505-2E9C-101B-9397-08002B2CF9AE}" pid="17" name="TYPE_N_DATE">
    <vt:lpwstr>39020150617</vt:lpwstr>
  </property>
  <property fmtid="{D5CDD505-2E9C-101B-9397-08002B2CF9AE}" pid="18" name="WORDNUMPAGES">
    <vt:lpwstr>8</vt:lpwstr>
  </property>
</Properties>
</file>