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58511-01-20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בידס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השופטת  רונית בש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סאמר בידס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NGCSBookmark"/>
      <w:bookmarkStart w:id="7" w:name="NGCSBookmark"/>
      <w:bookmarkEnd w:id="7"/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IL" w:eastAsia="en-I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הודה בעובדות כתב אישום מתוקן בשנית </w:t>
      </w:r>
      <w:r>
        <w:rPr>
          <w:rFonts w:cs="Arial" w:ascii="Arial" w:hAnsi="Arial"/>
          <w:rtl w:val="true"/>
        </w:rPr>
        <w:t>(</w:t>
      </w:r>
      <w:r>
        <w:rPr>
          <w:rFonts w:ascii="Miriam" w:hAnsi="Miriam" w:cs="Miriam"/>
          <w:rtl w:val="true"/>
        </w:rPr>
        <w:t>א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במסגרת של הסדר טיעון וזאת מבלי שגובשה בין הצדדים הסכמה לעניין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מכוח הודאתו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בעבירות המיוחסות לו בכתב האישום המתוקן בשנית </w:t>
      </w:r>
      <w:r>
        <w:rPr>
          <w:rFonts w:cs="Miriam" w:ascii="Miriam" w:hAnsi="Miriam"/>
          <w:rtl w:val="true"/>
        </w:rPr>
        <w:t>(</w:t>
      </w:r>
      <w:r>
        <w:rPr>
          <w:rFonts w:ascii="David" w:hAnsi="David"/>
          <w:rtl w:val="true"/>
        </w:rPr>
        <w:t>להלן גם</w:t>
      </w:r>
      <w:r>
        <w:rPr>
          <w:rFonts w:cs="Miriam" w:ascii="Miriam" w:hAnsi="Miriam"/>
          <w:rtl w:val="true"/>
        </w:rPr>
        <w:t xml:space="preserve">: </w:t>
      </w:r>
      <w:r>
        <w:rPr>
          <w:rFonts w:ascii="Miriam" w:hAnsi="Miriam" w:cs="Miriam"/>
          <w:rtl w:val="true"/>
        </w:rPr>
        <w:t>כתב האישום</w:t>
      </w:r>
      <w:r>
        <w:rPr>
          <w:rFonts w:cs="Miriam" w:ascii="Miriam" w:hAnsi="Miriam"/>
          <w:rtl w:val="true"/>
        </w:rPr>
        <w:t>)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נשיאה והובלה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לפי </w:t>
      </w:r>
      <w:hyperlink r:id="rId1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Miriam" w:hAnsi="Miriam" w:cs="Miriam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ועבירה של 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bookmarkStart w:id="9" w:name="ABSTRACT_END"/>
      <w:bookmarkEnd w:id="9"/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 xml:space="preserve">כתב האישום המתוקן בשנית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17/1/20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21:55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 והוביל הנאשם על גופו בשכונת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בגדאד בכפר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Miriam" w:hAnsi="Miriam" w:cs="Miriam"/>
          <w:rtl w:val="true"/>
        </w:rPr>
        <w:t>השכונה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תת מקלע מאולתר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שסוגל לירות כדור ובכוחו להמית אדם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Miriam" w:hAnsi="Miriam" w:cs="Miriam"/>
          <w:rtl w:val="true"/>
        </w:rPr>
        <w:t>הנשק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מחסנית ריקה המתאימה לתת מקלע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עוזי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שהוסבה לשימוש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Miriam" w:hAnsi="Miriam" w:cs="Miriam"/>
          <w:rtl w:val="true"/>
        </w:rPr>
        <w:t>המחסנית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וזאת בלא רשות על פי דין לנשיאתם והובלתם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באותו 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ובעקבות דיווח על ירי בשכונה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השוטרים אנואר ח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ורי ומואנס ח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וגיראת אל השכונה בניידת משטרתית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השוטרים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הבחינו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בהגיעם לרחוב הסמוך למתחם משפחת אבו גליון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בנאשם הולך מולם כשהוא מחזיק נשק בידו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הבחין בניידת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הסתובב במקום והחל לרוץ בהמשך אותו רחוב בעודו נושא ומוביל את הנשק בידו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השוטר אנואר שיצא מהניידת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רדף אחר הנאשם תוך שצעק לעברו מספר פעמים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עצור משטרה</w:t>
      </w:r>
      <w:r>
        <w:rPr>
          <w:rFonts w:cs="Arial" w:ascii="Arial" w:hAnsi="Arial"/>
          <w:rtl w:val="true"/>
        </w:rPr>
        <w:t xml:space="preserve">".  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כעבור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מטרים 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השליך הנאשם את הנשק אל מעבר לחומה שתחמה שטח פרטי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בכוונה למנוע או להכשיל הליך שיפוטי ולהפריע לשוטר במילוי תפקידו כחוק  או להכשילו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המשיך להימלט בהמשך הרחוב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השוטר אנואר צעק לעברו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עצור או שאני יורה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ואז ביצע ירייה אחת באוויר והמשיך במרדף אחר הנאשם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הנאשם המשיך במנוסתו ואז השוטר אנואר שוב צעק לעברו את הדברים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וביצע ירייה באוויר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המשיך במנוסתו ואז נפל ונעצר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הנשק והמחסנית נתפסו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השוטר אנואר בחיפוש שערך בשטח הפרטי אליו הושלך הנשק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נשא הנאשם והוביל נשק  ומחסנית ללא רשות על פי דין לנשיאתם והובלתם וכן השליך את הנשק בכוונה למנוע או להכשיל הליך שיפוטי או להביא  לידי עיוות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להפריע לשוטר הממלא את תפקידו  כחוק או להכשילו בכך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ראיות הצדדים לעונש וטיעוניהם לעונש</w:t>
      </w:r>
    </w:p>
    <w:p>
      <w:pPr>
        <w:pStyle w:val="Normal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במסגרת ראיות המאשימה לעונש הוגש גיליון המרשם הפלילי של הנאשם </w:t>
      </w:r>
      <w:r>
        <w:rPr>
          <w:rFonts w:cs="Arial" w:ascii="Arial" w:hAnsi="Arial"/>
          <w:rtl w:val="true"/>
        </w:rPr>
        <w:t>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במסגרת ראיות ההגנה לעונש העידו אמו של הנאשם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נעימה בידס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Miriam" w:hAnsi="Miriam" w:cs="Miriam"/>
          <w:rtl w:val="true"/>
        </w:rPr>
        <w:t>הגב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בידס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ובן דודו של הנאשם מר מחמוד ענבוסי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מר ענבוסי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בידס סיפרה על הקונסטלציה המשפחתית המורכבת בה גדל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דמות של אב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בדוחק ובעוני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סיפרה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בידס כי מאז שבגר הנאשם עול פרנסת המשפחה מונח על כתפיו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חלתה במחלת הסרטן והנאשם היה זה שדאג לה וסייע לה וכן הסיעה לטיפולים הרפואיים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ומאז שנעצר מסיע אותה אחיינה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מר ענבוסי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לטיפולים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ציינה העדה כי התרשמה משיחות הטלפון עם הנאשם שחל בו שינוי וביקשה להקל בעונשו ולהשיבו הביתה כי היא זקוקה לו מאוד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מר ענבוסי סיפר אף הוא על העזרה הרבה של  הנאשם בפרנסת בני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הוא בדרך כלל 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ילד טוב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עוד סיפר מר ענבוסי כי התרשם משיחות טלפון כי השהייה במעצר שינתה 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המתחרט על מעשיו ומקווה לחיים טובים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מר ענבוסי הבהיר כי מאז שנעצר הנאשם הוא זה שמסייע לאמו חולת הסרטן של הנאשם ומסיעה לקבלת טיפולים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  <w:t xml:space="preserve"> </w:t>
      </w:r>
      <w:r>
        <w:rPr>
          <w:rFonts w:ascii="Arial" w:hAnsi="Arial" w:cs="Arial"/>
          <w:rtl w:val="true"/>
        </w:rPr>
        <w:t>בפתח טיעוניו לעונש 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את עובדות כתב האישום המתוקן בהן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מנת ללמד על 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הערך החברתי המוגן שנפגע במקרה דנן הוא שלום הציבור וביטחונו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ציין כי בנסיבות שבפנינו ברי כי קדם תכנון למעשיו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 לעניין חלקו הבלעדי של הנאשם בביצוע העבירות וצוין הנזק הפוטנציאלי הטמון במעשים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הוטעם בנקודה זו כי הנאשם  נס מפני 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במהלך מנוסתו זרק את הנשק לתוך שטח פרטי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העלול לסכן את שוכני המקום ולהביא לשימוש נוסף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עוד כי הנאשם אף הביא את השוטר אנואר לבצע ירי באוויר כדי למנוע את מנוסתו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בסיכומו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שסקר פסיקה מטעם המאשימה לעניין העונש ובהסתמך על הנחיית פרקליט המדינה מספר </w:t>
      </w:r>
      <w:r>
        <w:rPr>
          <w:rFonts w:cs="Arial" w:ascii="Arial" w:hAnsi="Arial"/>
        </w:rPr>
        <w:t>9.16</w:t>
      </w:r>
      <w:r>
        <w:rPr>
          <w:rFonts w:cs="Arial" w:ascii="Arial" w:hAnsi="Arial"/>
          <w:rtl w:val="true"/>
        </w:rPr>
        <w:t xml:space="preserve"> (</w:t>
      </w:r>
      <w:r>
        <w:rPr>
          <w:rFonts w:ascii="Miriam" w:hAnsi="Miriam" w:cs="Miriam"/>
          <w:rtl w:val="true"/>
        </w:rPr>
        <w:t>ט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לקבוע בתיק זה מתחם עונש הולם הנע בין שנתיים וחצי עד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הודאתו בעובדות כתב האישום המתוקן לצד עברו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סבורה המאשימה כי יש לגזור את עונשו של הנאשם באמצע המתחם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לו היא עותרת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בפתח טיעוניו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כי הפסיקה אליה הפנתה המאשימה כוללת ענישה קלה יותר מזו העולה ממתחם העונש ההולם המתבקש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המאשימה בהתאם להנחיית פרקליט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ציין הסניגור את הודאת הנאשם בהזדמנות הראשונה בעובדות כתב האישום המתוקן אשר חסכה זמן שיפוטי יקר והעדת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עדי תביעה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חלק על טיעוני המאשימה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קדם תכנון למעשיו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הפנה לדו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המשל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ט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1</w:t>
      </w:r>
      <w:r>
        <w:rPr>
          <w:rFonts w:cs="Miriam" w:ascii="Miriam" w:hAnsi="Miriam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למשטרה נמסר דיווח על ירי מנשקים בשכונת מגוריו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והוסיף וטען כי מדובר בנשיאת נשק ספונטנית וקצרת טווח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הנאשם בשכונת מגוריו ולא הרחק מביתו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כאן יובהר כי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אישר כי מכתב האישום המתוקן אכן עולה נשיאה קצרה של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כאשר הבין הנאשם שדולקת אחריו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השליך את הנשק מתוך תגובה ספונטנית ונס מפני השוטרים מרחק קצר 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הסניגור ציין עוד את התקופה הארוכה והקשה בה נתון הנאשם במעצר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17/1/20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וזאת לטענת הסנגור משלא עלה בידי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מפאת מצבו הכלכלי הקשה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להציע חלופת מעצר הולמת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 לעניין הקושי של הנאשם בשהייה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הועצם נוכח מגפת הקורונה שהביאה לבידוד שלו  ולחשש מוגבר פן יידבק במחלה במקום שאין לו שליטה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הסניגור את נסיבות חייו הקשות של הנאשם שגדל בדוחק ובעוני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אב ובצל מחלת הסרטן של אמו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לאחר שבגר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נאלץ הנאשם לשאת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כורחו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בתפקיד ראש המשפחה ולפרנס את בנות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הגיש תיעוד רפואי לעניין מצבה הבריאותי של אמו של הנאשם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וכן אישור מהמועצה המקומית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ת לעניין מצבה הקשה של המשפחה </w:t>
      </w:r>
      <w:r>
        <w:rPr>
          <w:rFonts w:cs="Arial" w:ascii="Arial" w:hAnsi="Arial"/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הגיש הסניגור תלושי שכר של הנאשם </w:t>
      </w:r>
      <w:r>
        <w:rPr>
          <w:rFonts w:cs="Arial" w:ascii="Arial" w:hAnsi="Arial"/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4</w:t>
      </w:r>
      <w:r>
        <w:rPr>
          <w:rFonts w:cs="Miriam" w:ascii="Miriam" w:hAnsi="Miriam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ללמד כי הנאשם עבד וניהל אורח חיים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עוד כי נסיבות חייו הקשות של הנאשם הן שהובילו אותו לקבלת החלטות שגויות והוא נשא את המחיר על 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לעברו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כי מדובר בעבירות שנעברו לפני פרקי זמן משמעותיים ואינן בתחום עבירות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לסיכום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שהפנה לפסיקה מטעמו </w:t>
      </w:r>
      <w:r>
        <w:rPr>
          <w:rFonts w:cs="Arial" w:ascii="Arial" w:hAnsi="Arial"/>
          <w:rtl w:val="true"/>
        </w:rPr>
        <w:t>(</w:t>
      </w:r>
      <w:r>
        <w:rPr>
          <w:rFonts w:ascii="Miriam" w:hAnsi="Miriam" w:cs="Miriam"/>
          <w:rtl w:val="true"/>
        </w:rPr>
        <w:t>נע</w:t>
      </w:r>
      <w:r>
        <w:rPr>
          <w:rFonts w:cs="Miriam" w:ascii="Miriam" w:hAnsi="Miriam"/>
          <w:rtl w:val="true"/>
        </w:rPr>
        <w:t>/</w:t>
      </w:r>
      <w:r>
        <w:rPr>
          <w:rFonts w:cs="Miriam" w:ascii="Miriam" w:hAnsi="Miriam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ביקש הסניגור לקבוע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עונש הולם הנע בין </w:t>
      </w:r>
      <w:r>
        <w:rPr>
          <w:rFonts w:cs="Arial" w:ascii="Arial" w:hAnsi="Arial"/>
        </w:rPr>
        <w:t>30-7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וביקש להסתפק בתיק זה בתקופת מעצרו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הנאשם בדיון לפניי אמר את הדברים הבאים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כהאי לישנא</w:t>
      </w:r>
      <w:r>
        <w:rPr>
          <w:rFonts w:cs="Arial" w:ascii="Arial" w:hAnsi="Arial"/>
          <w:rtl w:val="true"/>
        </w:rPr>
        <w:t xml:space="preserve">: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רציתי להגיד שאני מצטער על המעשה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אני יודע שעשיתי טעות שאספתי את הנשק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חשבתי שמישהו ירה עלי עד שהבנתי שזה המשטרה ובסוף עצרתי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קשה לי במעצר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אני לא ישן בלילה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אם מישהו משתעל לידי אני בלחץ כי אני פוחד להידבק בקורונה</w:t>
      </w:r>
      <w:r>
        <w:rPr>
          <w:rFonts w:cs="Miriam" w:ascii="Miriam" w:hAnsi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תיקון 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מתווה את העיקרון המנחה זה מכבר את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ש בבואו לגזור דינו של נאשם שהינו לפי סעיף </w:t>
      </w:r>
      <w:hyperlink r:id="rId15"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cs="Calibri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לחוק 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עיקרון 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 צריך להתקיים יחס הולם בין חומרת מעשה העבירה בנסיבותיו ומידת אשמו של הנאשם לבין סוג ומידת העונש המוטל 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יחס זה מבטא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את עיקרון הגמול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: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</w:rPr>
          <w:t>1523/10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פלוני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18/4/12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סעיף </w:t>
      </w:r>
      <w:hyperlink r:id="rId17"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cs="Calibri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cs="Calibri" w:ascii="Calibri" w:hAnsi="Calibri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קובע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על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לקבוע מתחם עונש הולם למעשה העבירה שביצע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 לעיקרון המנחה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יתחשב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בערך החברתי שנפגע מביצוע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 הפגיעה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 הענישה הנהוגה ובנסיבות הקשורות בביצוע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הכלולות בסעיף </w:t>
      </w:r>
      <w:hyperlink r:id="rId19"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cs="Calibri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ט</w:t>
        </w:r>
        <w:r>
          <w:rPr>
            <w:rStyle w:val="Hyperlink"/>
            <w:rFonts w:cs="Calibri" w:ascii="Calibri" w:hAnsi="Calibri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sz w:val="22"/>
          <w:szCs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סעד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5.8.2013</w:t>
      </w:r>
      <w:r>
        <w:rPr>
          <w:rtl w:val="true"/>
        </w:rPr>
        <w:t xml:space="preserve">)).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rtl w:val="true"/>
        </w:rPr>
        <w:t>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אבר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rtl w:val="true"/>
        </w:rPr>
        <w:t>עניין ג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אבר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 "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ולבטחונו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יתגלגלו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tl w:val="true"/>
        </w:rPr>
        <w:t>" 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‏</w:t>
      </w:r>
      <w:r>
        <w:rPr>
          <w:rFonts w:cs="Miriam"/>
          <w:rtl w:val="true"/>
        </w:rPr>
        <w:t>כוויס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tl w:val="true"/>
        </w:rPr>
        <w:t xml:space="preserve">, </w:t>
      </w:r>
      <w:r>
        <w:rPr>
          <w:rtl w:val="true"/>
        </w:rPr>
        <w:t>לדאבון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</w:t>
      </w:r>
      <w:r>
        <w:rPr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חסן</w:t>
      </w:r>
      <w:r>
        <w:rPr>
          <w:rtl w:val="true"/>
        </w:rPr>
        <w:t xml:space="preserve">)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לישנא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134"/>
        <w:jc w:val="both"/>
        <w:rPr>
          <w:rFonts w:cs="Miriam"/>
        </w:rPr>
      </w:pPr>
      <w:r>
        <w:rPr>
          <w:rtl w:val="true"/>
        </w:rPr>
        <w:t>"</w:t>
      </w:r>
      <w:r>
        <w:rPr>
          <w:rFonts w:cs="Miriam"/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היקפן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המתרחב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בפרט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וזמינותו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במחוזותינו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התגלגלותם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ועוינים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- </w:t>
      </w:r>
      <w:r>
        <w:rPr>
          <w:rFonts w:cs="Miriam"/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ברחוב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ניצים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פנימה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המימדים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הגיעו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בנפש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בהדרגה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לחתור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שבמלאכת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הנעשית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לגופו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לעבירת הנשק נלוותה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עבירה של שיבוש מהלכי משפט נוכח השלכת הנשק אל מעבר לחומה שתחמה שטח פרטי ונוכח הימלטותו של הנאשם מהשוטר אנואר כמתואר בכתב האישום המתוקן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עבירה זו מגלמת בחובה פגיעה בשלטון החוק במדינתנו ובאנשי המשטרה הפועלים לצורך שמירה על הסדר החברתי ושלטון החוק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בחינת נסיבות ביצוע העבירה אציין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הוא נשא והוביל על גופו תת מקלע מאולתר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וכן מחסנית ריקה המתאימה לתת מקלע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עוזי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שהוסבה לשימוש בנשק המאולתר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אציין כי העובדה שהנאשם ביצע לצד עבירת הנשק גם עבירה של 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מוסיפה נופך של חומרה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גם שהתנהלות הנאשם הביאה לכך שהשוטר נאלץ לבצע פעמיים ירי באוויר עד שהלה נעצר לאחר שמעד ונפל במנוסתו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השלכת הנשק למתחם פרטי של מגורים טומנת בחובה מסוכנות פוטנציאלית ועלולה להוביל להעברת הנשק לידיים עוינות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אציין כי עסקינן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בנשיאת והובלת נשק קצרת טווח שארכה פרק זמן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כך אין חולק שהרי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אישר עובדה זו בדיון לפניי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אציין כי לא ברורות הנסיבות המדויקות שהביאו את הנאשם לנשיאת והובלת הנשק בשכונת מגוריו ומה הקשר שלהן לירי שבוצע באותה שכונה המתואר בכתב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סקירת מדיניות הענישה הנהוגה בעבירה של נשיאת והובלת נשק שלא כדין אביא את הפסיקה הבאה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 באר שבע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4338-04-13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Miriam" w:hAnsi="Miriam" w:cs="Miriam"/>
          <w:rtl w:val="true"/>
          <w:lang w:val="en-US" w:eastAsia="en-US"/>
        </w:rPr>
        <w:t>מדינת ישראל נ</w:t>
      </w:r>
      <w:r>
        <w:rPr>
          <w:rFonts w:cs="Miriam" w:ascii="Miriam" w:hAnsi="Miriam"/>
          <w:rtl w:val="true"/>
          <w:lang w:val="en-US" w:eastAsia="en-US"/>
        </w:rPr>
        <w:t xml:space="preserve">' </w:t>
      </w:r>
      <w:r>
        <w:rPr>
          <w:rFonts w:ascii="Miriam" w:hAnsi="Miriam" w:cs="Miriam"/>
          <w:rtl w:val="true"/>
          <w:lang w:val="en-US" w:eastAsia="en-US"/>
        </w:rPr>
        <w:t>אביעוז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 xml:space="preserve">( </w:t>
      </w:r>
      <w:r>
        <w:rPr>
          <w:rFonts w:cs="Arial" w:ascii="Arial" w:hAnsi="Arial"/>
          <w:lang w:val="en-US" w:eastAsia="en-US"/>
        </w:rPr>
        <w:t>11/12/16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הושת על נאשם שהורשע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שמיעת ראיות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בעבירה של תגרה ובעבירות של נשיאת והובלת נשק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עונש של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בצירוף ענישה נלווית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במקרה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דובר בנאשם שנשא במכנסיו מאחור אקדח מסוג ברטה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טעון במחסנית מלאה בכדורים ודרוך בכדור בבית הבליעה ובכיס מכנסיו של אותו נאשם נמצאה מחסנית נוספת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מלאה בכדורים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31862-05-13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Miriam" w:hAnsi="Miriam" w:cs="Miriam"/>
          <w:rtl w:val="true"/>
          <w:lang w:val="en-US" w:eastAsia="en-US"/>
        </w:rPr>
        <w:t>מדינת ישראל נ</w:t>
      </w:r>
      <w:r>
        <w:rPr>
          <w:rFonts w:cs="Miriam" w:ascii="Miriam" w:hAnsi="Miriam"/>
          <w:rtl w:val="true"/>
          <w:lang w:val="en-US" w:eastAsia="en-US"/>
        </w:rPr>
        <w:t xml:space="preserve">' </w:t>
      </w:r>
      <w:r>
        <w:rPr>
          <w:rFonts w:ascii="Miriam" w:hAnsi="Miriam" w:cs="Miriam"/>
          <w:rtl w:val="true"/>
          <w:lang w:val="en-US" w:eastAsia="en-US"/>
        </w:rPr>
        <w:t>מוחמד מחאמיד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1/10/13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הוטל על נאשם צעיר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בן פחות מ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עונש של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בפועל בגין עבירה של נשיאת 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אקדח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שלא כדין לצד עבירה של הפרעה לשוטר בשעת מילוי תפקידו כדין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3451-02-14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Miriam" w:hAnsi="Miriam" w:cs="Miriam"/>
          <w:rtl w:val="true"/>
          <w:lang w:val="en-US" w:eastAsia="en-US"/>
        </w:rPr>
        <w:t>מדינת ישראל נ</w:t>
      </w:r>
      <w:r>
        <w:rPr>
          <w:rFonts w:cs="Miriam" w:ascii="Miriam" w:hAnsi="Miriam"/>
          <w:rtl w:val="true"/>
          <w:lang w:val="en-US" w:eastAsia="en-US"/>
        </w:rPr>
        <w:t xml:space="preserve">' </w:t>
      </w:r>
      <w:r>
        <w:rPr>
          <w:rFonts w:ascii="Miriam" w:hAnsi="Miriam" w:cs="Miriam"/>
          <w:rtl w:val="true"/>
          <w:lang w:val="en-US" w:eastAsia="en-US"/>
        </w:rPr>
        <w:t>עבד אלעאל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23/9/14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הושת על נאשם בן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בעל עבר נקי שהורשע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שמיעת ראיות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בביצוע עבירות של נשיאת והחזקת 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תת מקלע מאולתר ובתוכו מחסנית וכדורים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לצד עבירה של הפרעה לשוטר במילוי תפקידו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עונש של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ענישה נלווית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31034-06-17</w:t>
        </w:r>
      </w:hyperlink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מחוזי חיפה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Miriam" w:hAnsi="Miriam" w:cs="Miriam"/>
          <w:rtl w:val="true"/>
          <w:lang w:val="en-US" w:eastAsia="en-US"/>
        </w:rPr>
        <w:t>מדינת ישראל נ</w:t>
      </w:r>
      <w:r>
        <w:rPr>
          <w:rFonts w:cs="Miriam" w:ascii="Miriam" w:hAnsi="Miriam"/>
          <w:rtl w:val="true"/>
          <w:lang w:val="en-US" w:eastAsia="en-US"/>
        </w:rPr>
        <w:t xml:space="preserve">' </w:t>
      </w:r>
      <w:r>
        <w:rPr>
          <w:rFonts w:ascii="Miriam" w:hAnsi="Miriam" w:cs="Miriam"/>
          <w:rtl w:val="true"/>
          <w:lang w:val="en-US" w:eastAsia="en-US"/>
        </w:rPr>
        <w:t>מסרי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17/4/18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הושת על נאשם בעל עבר נקי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שהורשע מכוח הודאתו בביצוע עבירה שעניינה נשיאת נשק מסוג תת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מקלע מאולתר ובתוכו מחסנית ובה כדור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באזור מגורים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עונש של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לצד רכיבי ענישה של מאסר מותנה וקנס בסך </w:t>
      </w:r>
      <w:r>
        <w:rPr>
          <w:rFonts w:cs="Arial" w:ascii="Arial" w:hAnsi="Arial"/>
          <w:lang w:val="en-US" w:eastAsia="en-US"/>
        </w:rPr>
        <w:t>3,000</w:t>
      </w:r>
      <w:r>
        <w:rPr>
          <w:rFonts w:cs="Arial" w:ascii="Arial" w:hAnsi="Arial"/>
          <w:rtl w:val="true"/>
          <w:lang w:val="en-US" w:eastAsia="en-US"/>
        </w:rPr>
        <w:t xml:space="preserve"> ₪.</w:t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שסקרתי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הערכים שנפגעו כתוצאה מביצוע העבירות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את נסיבות ביצוע העבירות ואת 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הפסיקה אליה הפנו הצדדים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ובתיתי את הדעת לכך שלצד עבירת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הנאשם גם עבירה של 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הגעתי לכלל מסקנה כי מתחם העונש ההולם בתיק זה נע בין עונש של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לבין עונש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הנסיבות שאינן קשורות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אציין לטובת הנאשם את הודאתו בעובדות כתב האישום המתוקן במסגרת של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הודאה אשר חסכה הן את העדת העדים והן מזמנו היקר של בית המשפט ומגלמת בחובה נטילת אחריות למעשים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אציין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נסיבותיו האישיות הקשות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מראיות ההגנה לעונש ומטיעוניה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אוסיף כי בעברו הפלילי של הנאשם אמנם קיימות הרשעות קודמות בעבירות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אין בעברו הרשעות בעבירות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אזקוף לטובת הנאשם את היותו נתון תקופה של חצי שנה במעצר של ממש בתנאים קשים במיוחד נוכח מגפת הקורונה והמשבר שהתהווה כתוצאה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כנטען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הסנגור ובצדק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שקלול מכלול הטעמים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מביא אותי לידי מסקנה כי יש להשית על הנאשם עונש של מאסר בפועל לתקופה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 לצד רכיב ענישה של מאסר מותנה משמעותי ומרתיע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בסיכומו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דנה 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למאסר בפועל לתקופה של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בניכוי ימי מעצרו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17/1/20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עד כה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למאסר על תנאי לתקופה של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והתנאי הוא לבל יבצע הנאשם עבירה מסוג פשע לפי </w:t>
      </w:r>
      <w:hyperlink r:id="rId31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למאסר על תנאי לתקופה של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והתנאי הוא לבל יבצע הנאשם עבירה מסוג עוון לפי </w:t>
      </w:r>
      <w:hyperlink r:id="rId33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או עבירה לפי </w:t>
      </w:r>
      <w:hyperlink r:id="rId35">
        <w:r>
          <w:rPr>
            <w:rStyle w:val="Hyperlink"/>
            <w:rFonts w:ascii="Arial" w:hAnsi="Arial" w:cs="Arial"/>
            <w:rtl w:val="true"/>
            <w:lang w:val="en-US" w:eastAsia="en-US"/>
          </w:rPr>
          <w:t>סימן 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'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לפרק ט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לחוק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start="0"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בשולי גזר הדין ניתן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לבקשת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צו לחילוט הנשק והמחסנית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ind w:start="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לבית המשפט העליון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Nitan"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בני פסקל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bookmarkEnd w:id="10"/>
      <w:r>
        <w:rPr>
          <w:rFonts w:ascii="Arial" w:hAnsi="Arial" w:cs="Arial"/>
          <w:rtl w:val="true"/>
        </w:rPr>
        <w:t xml:space="preserve">מסארווה </w:t>
      </w:r>
      <w:r>
        <w:rPr>
          <w:rFonts w:ascii="Arial" w:hAnsi="Arial" w:cs="Arial"/>
          <w:rtl w:val="true"/>
        </w:rPr>
        <w:t>והנאשם</w:t>
      </w:r>
      <w:r>
        <w:rPr>
          <w:rFonts w:ascii="Arial" w:hAnsi="Arial" w:cs="Arial"/>
          <w:rtl w:val="true"/>
        </w:rPr>
        <w:t xml:space="preserve"> שהובא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2553" w:leader="none"/>
        </w:tabs>
        <w:ind w:start="5040" w:end="0"/>
        <w:jc w:val="both"/>
        <w:rPr>
          <w:lang w:val="en-IL" w:eastAsia="en-IL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both"/>
        <w:rPr/>
      </w:pPr>
      <w:r>
        <w:rPr>
          <w:rtl w:val="true"/>
        </w:rPr>
        <w:tab/>
        <w:tab/>
        <w:tab/>
        <w:tab/>
        <w:t xml:space="preserve">        </w:t>
      </w:r>
    </w:p>
    <w:p>
      <w:pPr>
        <w:pStyle w:val="Normal"/>
        <w:tabs>
          <w:tab w:val="clear" w:pos="720"/>
          <w:tab w:val="left" w:pos="2553" w:leader="none"/>
        </w:tabs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58511-01-20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סאמר בידס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lang w:val="en-IL" w:eastAsia="en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40jc.b" TargetMode="External"/><Relationship Id="rId10" Type="http://schemas.openxmlformats.org/officeDocument/2006/relationships/hyperlink" Target="http://www.nevo.co.il/law/70301/iCaS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b" TargetMode="External"/><Relationship Id="rId16" Type="http://schemas.openxmlformats.org/officeDocument/2006/relationships/hyperlink" Target="http://www.nevo.co.il/case/6243627" TargetMode="External"/><Relationship Id="rId17" Type="http://schemas.openxmlformats.org/officeDocument/2006/relationships/hyperlink" Target="http://www.nevo.co.il/law/70301/40c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i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jc.b" TargetMode="External"/><Relationship Id="rId23" Type="http://schemas.openxmlformats.org/officeDocument/2006/relationships/hyperlink" Target="http://www.nevo.co.il/case/5573417" TargetMode="External"/><Relationship Id="rId24" Type="http://schemas.openxmlformats.org/officeDocument/2006/relationships/hyperlink" Target="http://www.nevo.co.il/case/13093721" TargetMode="External"/><Relationship Id="rId25" Type="http://schemas.openxmlformats.org/officeDocument/2006/relationships/hyperlink" Target="http://www.nevo.co.il/case/5601503" TargetMode="External"/><Relationship Id="rId26" Type="http://schemas.openxmlformats.org/officeDocument/2006/relationships/hyperlink" Target="http://www.nevo.co.il/case/6473037" TargetMode="External"/><Relationship Id="rId27" Type="http://schemas.openxmlformats.org/officeDocument/2006/relationships/hyperlink" Target="http://www.nevo.co.il/case/6864329" TargetMode="External"/><Relationship Id="rId28" Type="http://schemas.openxmlformats.org/officeDocument/2006/relationships/hyperlink" Target="http://www.nevo.co.il/case/7840699" TargetMode="External"/><Relationship Id="rId29" Type="http://schemas.openxmlformats.org/officeDocument/2006/relationships/hyperlink" Target="http://www.nevo.co.il/case/11289545" TargetMode="External"/><Relationship Id="rId30" Type="http://schemas.openxmlformats.org/officeDocument/2006/relationships/hyperlink" Target="http://www.nevo.co.il/case/22733878" TargetMode="External"/><Relationship Id="rId31" Type="http://schemas.openxmlformats.org/officeDocument/2006/relationships/hyperlink" Target="http://www.nevo.co.il/law/70301/14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iCaS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2020-07-27T12:37:00Z</dcterms:created>
  <dc:creator> </dc:creator>
  <dc:description/>
  <cp:keywords/>
  <dc:language>en-IL</dc:language>
  <cp:lastModifiedBy>h10</cp:lastModifiedBy>
  <dcterms:modified xsi:type="dcterms:W3CDTF">2020-07-27T12:37:00Z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סאמר בידס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6243627;5573417;13093721;5601503;6473037;6864329;7840699;11289545;22733878</vt:lpwstr>
  </property>
  <property fmtid="{D5CDD505-2E9C-101B-9397-08002B2CF9AE}" pid="9" name="CITY">
    <vt:lpwstr>חי'</vt:lpwstr>
  </property>
  <property fmtid="{D5CDD505-2E9C-101B-9397-08002B2CF9AE}" pid="10" name="DATE">
    <vt:lpwstr>20200723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70301/144.b;244;040b;040c;040i;40jc.b;144:2;iCaS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58511</vt:lpwstr>
  </property>
  <property fmtid="{D5CDD505-2E9C-101B-9397-08002B2CF9AE}" pid="22" name="NEWPARTB">
    <vt:lpwstr>01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390020200723</vt:lpwstr>
  </property>
  <property fmtid="{D5CDD505-2E9C-101B-9397-08002B2CF9AE}" pid="34" name="TYPE_N_DATE">
    <vt:lpwstr>39020200723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