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58524-11-19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מוסלם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עודה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hyperlink r:id="rId2"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1973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סע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13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19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hyperlink r:id="rId5"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1977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סע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ג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2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ascii="Arial" w:hAnsi="Arial" w:cs="FrankRuehl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bookmarkStart w:id="7" w:name="ABSTRACT_START"/>
      <w:bookmarkEnd w:id="7"/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המפורטות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13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hyperlink r:id="rId11">
        <w:r>
          <w:rPr>
            <w:rStyle w:val="Hyperlink"/>
            <w:lang w:val="en-US" w:eastAsia="en-US"/>
          </w:rPr>
          <w:t>19</w:t>
        </w:r>
        <w:r>
          <w:rPr>
            <w:rStyle w:val="Hyperlink"/>
            <w:rtl w:val="true"/>
            <w:lang w:val="en-US" w:eastAsia="en-US"/>
          </w:rPr>
          <w:t>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המסוכנים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נוסח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</w:t>
      </w:r>
      <w:r>
        <w:rPr>
          <w:rtl w:val="true"/>
          <w:lang w:val="en-US" w:eastAsia="en-US"/>
        </w:rPr>
        <w:t xml:space="preserve">],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1973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הפקודה</w:t>
      </w:r>
      <w:r>
        <w:rPr>
          <w:rtl w:val="true"/>
          <w:lang w:val="en-US" w:eastAsia="en-US"/>
        </w:rPr>
        <w:t>");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13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hyperlink r:id="rId14">
        <w:r>
          <w:rPr>
            <w:rStyle w:val="Hyperlink"/>
            <w:lang w:val="en-US" w:eastAsia="en-US"/>
          </w:rPr>
          <w:t>19</w:t>
        </w:r>
        <w:r>
          <w:rPr>
            <w:rStyle w:val="Hyperlink"/>
            <w:rtl w:val="true"/>
            <w:lang w:val="en-US" w:eastAsia="en-US"/>
          </w:rPr>
          <w:t>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לפקודה</w:t>
      </w:r>
      <w:r>
        <w:rPr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144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lang w:val="en-US" w:eastAsia="en-US"/>
          </w:rPr>
          <w:t>2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lang w:val="en-US" w:eastAsia="en-US"/>
        </w:rPr>
      </w:pP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ולרכיבי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נלווים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כתב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המתוקן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במאבק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בהפצת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הסוכן</w:t>
      </w:r>
      <w:r>
        <w:rPr>
          <w:rtl w:val="true"/>
          <w:lang w:val="en-US" w:eastAsia="en-US"/>
        </w:rPr>
        <w:t xml:space="preserve">"). </w:t>
      </w:r>
      <w:r>
        <w:rPr>
          <w:rtl w:val="true"/>
          <w:lang w:val="en-US" w:eastAsia="en-US"/>
        </w:rPr>
        <w:t>במועדים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בשליחות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בהוראתה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באישורה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ובמימונה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בעסקאות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חוסיין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חוויס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10.10.2019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אקסטזי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למכור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אקסטזי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31</w:t>
      </w:r>
      <w:r>
        <w:rPr>
          <w:rtl w:val="true"/>
          <w:lang w:val="en-US" w:eastAsia="en-US"/>
        </w:rPr>
        <w:t xml:space="preserve"> ₪ </w:t>
      </w:r>
      <w:r>
        <w:rPr>
          <w:rtl w:val="true"/>
          <w:lang w:val="en-US" w:eastAsia="en-US"/>
        </w:rPr>
        <w:t>לכדור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3,700</w:t>
      </w:r>
      <w:r>
        <w:rPr>
          <w:rtl w:val="true"/>
          <w:lang w:val="en-US" w:eastAsia="en-US"/>
        </w:rPr>
        <w:t xml:space="preserve"> ₪,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6,800</w:t>
      </w:r>
      <w:r>
        <w:rPr>
          <w:rtl w:val="true"/>
          <w:lang w:val="en-US" w:eastAsia="en-US"/>
        </w:rPr>
        <w:t xml:space="preserve"> ₪.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לסילוואן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והטבליות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נמעכו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אקסטזי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קוקאין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10.17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3,800</w:t>
      </w:r>
      <w:r>
        <w:rPr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אקסטזי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למבורגיני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המכילים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MDMA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לכדור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31</w:t>
      </w:r>
      <w:r>
        <w:rPr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15.10.2019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במשרדו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בסילוואן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הנוספים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לחכות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2,920</w:t>
      </w:r>
      <w:r>
        <w:rPr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19.10.2019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אקסטזי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למבורגיני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המכילים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MDMA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31</w:t>
      </w:r>
      <w:r>
        <w:rPr>
          <w:rtl w:val="true"/>
          <w:lang w:val="en-US" w:eastAsia="en-US"/>
        </w:rPr>
        <w:t xml:space="preserve"> ₪ </w:t>
      </w:r>
      <w:r>
        <w:rPr>
          <w:rtl w:val="true"/>
          <w:lang w:val="en-US" w:eastAsia="en-US"/>
        </w:rPr>
        <w:t>לכדור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תתבצע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הצהריים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20.10.2019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שוחח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ועדכן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13:00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שימסור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הכדורים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לשליח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שווידא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בשליחות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שקית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לוודא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שהשקית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שסוכמה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2,940</w:t>
      </w:r>
      <w:r>
        <w:rPr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26.10.2019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45,000</w:t>
      </w:r>
      <w:r>
        <w:rPr>
          <w:rtl w:val="true"/>
          <w:lang w:val="en-US" w:eastAsia="en-US"/>
        </w:rPr>
        <w:t xml:space="preserve"> ₪.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יישומון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הווטסאפ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למחרת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27.10.2019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ולבסוף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45,000</w:t>
      </w:r>
      <w:r>
        <w:rPr>
          <w:rtl w:val="true"/>
          <w:lang w:val="en-US" w:eastAsia="en-US"/>
        </w:rPr>
        <w:t xml:space="preserve"> ₪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יומיים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29.10.2019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שוחחו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בכדורים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הגלוק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שמחירו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32,000</w:t>
      </w:r>
      <w:r>
        <w:rPr>
          <w:rtl w:val="true"/>
          <w:lang w:val="en-US" w:eastAsia="en-US"/>
        </w:rPr>
        <w:t xml:space="preserve"> ₪.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28.000</w:t>
      </w:r>
      <w:r>
        <w:rPr>
          <w:rtl w:val="true"/>
          <w:lang w:val="en-US" w:eastAsia="en-US"/>
        </w:rPr>
        <w:t xml:space="preserve"> ₪, </w:t>
      </w:r>
      <w:r>
        <w:rPr>
          <w:rtl w:val="true"/>
          <w:lang w:val="en-US" w:eastAsia="en-US"/>
        </w:rPr>
        <w:t>והסוכן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שהוסכם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התקדמו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הכיכר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למדרגות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הסמוכות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28,000</w:t>
      </w:r>
      <w:r>
        <w:rPr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מבדיקה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נתגלה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הנוקר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10.9.2020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התארס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סילוואן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בירושלים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צוין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נפסקו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מהתפרעויות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מתרחשות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בשכונתם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הספר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גניבת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והתחייבות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תלויים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ניהלו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המניע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פיתוי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ורצון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השלכותיהם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צוין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ינואר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והפסקת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הקבוצות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פנימיים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וחיצוניים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ברורים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אימפולסיבית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פיתוי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בעייתית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מחבורת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בהתנהלותו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שהתבטאו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בקונפליקטים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התדרדרות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שוליים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בעייתיים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מבטא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אורח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מרתיע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מנגד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דפוסי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ילדותיים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נטייה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אימפולסיבי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בהצבת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לעצמו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הננקטות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להפיק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תועלת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המלצה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דפוסי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התנהגותו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מוחשי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לחיזוק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דפוסיו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הבעייתיים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הומלץ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יילקחו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הראיות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לנוער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בירושלים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צ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80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והתחייבות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להימנע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גניבת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וקשירת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46155-01-18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ליונל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בוקובזה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קצין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במז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פ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אוטומטי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חילוואן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הדעת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מסמכים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רפואיים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מוסה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טענות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המאשימה</w:t>
      </w:r>
      <w:r>
        <w:rPr>
          <w:rFonts w:cs="Calibri" w:ascii="Calibri" w:hAnsi="Calibri"/>
          <w:u w:val="single"/>
          <w:rtl w:val="true"/>
          <w:lang w:val="en-US" w:eastAsia="en-US"/>
        </w:rPr>
        <w:t>: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והפצתו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הדרגתית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סרחאן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34003-04-18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יזם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הציע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למכור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מוקדם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להבדיל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ספונטאני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המכירה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פוטנציאל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המניע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כסף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למגוון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בכמויות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מתוכנן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התרחש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אקסטזי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וקוקאין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והכמויות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המפורטות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פוטנציאל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וקנס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להנחיית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פרקליט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לחרוג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שהאקדח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תקול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להודאתו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ולקיחת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ולהיעדר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u w:val="single"/>
          <w:rtl w:val="true"/>
          <w:lang w:val="en-US" w:eastAsia="en-US"/>
        </w:rPr>
        <w:t>טענות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</w:t>
      </w:r>
      <w:r>
        <w:rPr>
          <w:rFonts w:cs="Calibri" w:ascii="Calibri" w:hAnsi="Calibri"/>
          <w:u w:val="single"/>
          <w:rtl w:val="true"/>
          <w:lang w:val="en-US" w:eastAsia="en-US"/>
        </w:rPr>
        <w:t>"</w:t>
      </w:r>
      <w:r>
        <w:rPr>
          <w:rFonts w:ascii="Calibri" w:hAnsi="Calibri" w:cs="Calibri"/>
          <w:u w:val="single"/>
          <w:rtl w:val="true"/>
          <w:lang w:val="en-US" w:eastAsia="en-US"/>
        </w:rPr>
        <w:t>כ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הנאשם</w:t>
      </w:r>
      <w:r>
        <w:rPr>
          <w:rFonts w:cs="Calibri" w:ascii="Calibri" w:hAnsi="Calibri"/>
          <w:u w:val="single"/>
          <w:rtl w:val="true"/>
          <w:lang w:val="en-US" w:eastAsia="en-US"/>
        </w:rPr>
        <w:t>: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1.10.2019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26.10.2019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שייקבעו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מעסקאות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הנוהגת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שהציגה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קיצוני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הנוהגת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שהציגה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מתייחסות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לכמויות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מהמיוחס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להודאתו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למעשיו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ולנסיבותיו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למחלת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סרטן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ומטופל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לעיתים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תכופות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צוין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פיקוח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בדיקות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לשלבו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לטיפול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התאפשר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באשמתו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אינדיבידואלית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מרתיע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להימנע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ייפול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מצטער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ונוצל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ומתכוון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ולהתחיל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מתחם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  <w:lang w:val="en-US" w:eastAsia="en-US"/>
        </w:rPr>
      </w:pPr>
      <w:r>
        <w:rPr>
          <w:rFonts w:cs="Calibri" w:ascii="Calibri" w:hAnsi="Calibri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בהתאם לתיקון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העיקרון המנחה בענישה הוא עקרון ההלימה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b/>
          <w:b/>
          <w:bCs/>
          <w:rtl w:val="true"/>
          <w:lang w:val="en-US" w:eastAsia="en-US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rtl w:val="true"/>
          <w:lang w:val="en-US" w:eastAsia="en-US"/>
        </w:rPr>
        <w:t>" (</w:t>
      </w:r>
      <w:hyperlink r:id="rId19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ב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בהתאם </w:t>
      </w:r>
      <w:hyperlink r:id="rId20">
        <w:r>
          <w:rPr>
            <w:rStyle w:val="Hyperlink"/>
            <w:rFonts w:ascii="David" w:hAnsi="David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ג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בית המשפט לקבוע מתחם עונש 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בערך החברתי שנפגע מביצוע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במידת הפגיעה 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בתוך 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יגזור בית המשפט את העונש המתאים לנאשם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 בנסיבות שאינן 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כאמור </w:t>
      </w:r>
      <w:hyperlink r:id="rId21">
        <w:r>
          <w:rPr>
            <w:rStyle w:val="Hyperlink"/>
            <w:rFonts w:ascii="David" w:hAnsi="David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יא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המדינה מבקשת לקבוע מתחמי ענישה נפרדים לעבירות הסמים ולעבירת הסחר בנשק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ההגנה טוענת כי מדובר בפרשה אחת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במעשים הקשורים זה בזה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 יש לקבוע מתחם עונש אחד כולל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 בעבירות שבוצעו כולן בתוך תקופה קצרה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כלפי אותו סוכן משטרתי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עם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מהות העבירות שונה לגמרי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המעשים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הערכים המוגנים אינם זהים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ולפיכך ייקבע מתחם עונש אחד לעבירות הסמים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ומתחם עונש נפרד לעבירת הנשק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8045/17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מוחמד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בראנסי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16.8.2018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חלקם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וחלקם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בודדות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52515-03-20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סנדוקה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cs="Calibri" w:ascii="Calibri" w:hAnsi="Calibri"/>
          <w:lang w:val="en-US" w:eastAsia="en-US"/>
        </w:rPr>
        <w:t>19.10.2020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4664-01-20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ליל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אגבאריה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22.7.2020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למכור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69640-10-18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מוחמד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עדואן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1.12.2019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8598/12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ביאטרה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28.1.2013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48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מסוכן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אקסטזי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MDMA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cs="Calibri" w:ascii="Calibri" w:hAnsi="Calibri"/>
          <w:rtl w:val="true"/>
          <w:lang w:val="en-US" w:eastAsia="en-US"/>
        </w:rPr>
        <w:t xml:space="preserve">; 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777/12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אמנון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מזרחי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19.3.2012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1108-05-15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יאיר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8.12.2015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MDMA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40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נלווים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20425-02-20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הייתם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מזערו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13.10.2020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40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נלווים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67186-02-20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רישק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cs="Calibri" w:ascii="Calibri" w:hAnsi="Calibri"/>
          <w:lang w:val="en-US" w:eastAsia="en-US"/>
        </w:rPr>
        <w:t>6.5.2020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50898-10-18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אלדין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חדר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cs="Calibri" w:ascii="Calibri" w:hAnsi="Calibri"/>
          <w:lang w:val="en-US" w:eastAsia="en-US"/>
        </w:rPr>
        <w:t>20.5.2019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בקוקאין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נלווים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8048/19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שמעון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פיצ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חדזה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4.6.2020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לצריכה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42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וראו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24207-06-13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כרכי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6.7.2014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הנוהגת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48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6421-12-11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אברהים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נמר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7.5.2013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וקשירת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bookmarkStart w:id="10" w:name="תיקון"/>
      <w:bookmarkEnd w:id="10"/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המוגנים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הפיזי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והנפשי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ובמניעת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נלווית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וראו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4522/18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בנימין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אסאבן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11.11.2018</w:t>
      </w:r>
      <w:r>
        <w:rPr>
          <w:rFonts w:cs="Calibri" w:ascii="Calibri" w:hAnsi="Calibri"/>
          <w:rtl w:val="true"/>
          <w:lang w:val="en-US" w:eastAsia="en-US"/>
        </w:rPr>
        <w:t>):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פעמים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חומרתן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הסמים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ובפרט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הסחר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בסמים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חומרה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נובעת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היתר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מנזקיהם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הקשים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–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במיוחד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לגבי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המוגדרים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קשים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–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למשתמשים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לסביבתם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...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לפיכך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נפסק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מחייבות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החלטי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דרך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מחמירה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ומרתיעה</w:t>
      </w:r>
      <w:r>
        <w:rPr>
          <w:rFonts w:cs="Calibri" w:ascii="Calibri" w:hAnsi="Calibri"/>
          <w:b/>
          <w:bCs/>
          <w:rtl w:val="true"/>
          <w:lang w:val="en-US" w:eastAsia="en-US"/>
        </w:rPr>
        <w:t>... ".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המוגן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להוביל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מורשים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פליליים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he-IL"/>
        </w:rPr>
        <w:t>לעניין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זה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קבע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בית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המשפט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בעליון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he-IL"/>
          </w:rPr>
          <w:t>4609/98</w:t>
        </w:r>
      </w:hyperlink>
      <w:r>
        <w:rPr>
          <w:rFonts w:cs="Calibri" w:ascii="Calibri" w:hAnsi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טאהא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נ</w:t>
      </w:r>
      <w:r>
        <w:rPr>
          <w:rFonts w:cs="Calibri" w:ascii="Calibri" w:hAnsi="Calibri"/>
          <w:b/>
          <w:bCs/>
          <w:u w:val="single"/>
          <w:rtl w:val="true"/>
          <w:lang w:val="en-US" w:eastAsia="he-IL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ישראל</w:t>
      </w:r>
      <w:r>
        <w:rPr>
          <w:rFonts w:cs="Calibri" w:ascii="Calibri" w:hAnsi="Calibri"/>
          <w:rtl w:val="true"/>
          <w:lang w:val="en-US" w:eastAsia="he-IL"/>
        </w:rPr>
        <w:t xml:space="preserve">, </w:t>
      </w:r>
      <w:r>
        <w:rPr>
          <w:rFonts w:ascii="Calibri" w:hAnsi="Calibri" w:cs="Calibri"/>
          <w:rtl w:val="true"/>
          <w:lang w:val="en-US" w:eastAsia="he-IL"/>
        </w:rPr>
        <w:t>תק</w:t>
      </w:r>
      <w:r>
        <w:rPr>
          <w:rFonts w:cs="Calibri" w:ascii="Calibri" w:hAnsi="Calibri"/>
          <w:rtl w:val="true"/>
          <w:lang w:val="en-US" w:eastAsia="he-IL"/>
        </w:rPr>
        <w:t>-</w:t>
      </w:r>
      <w:r>
        <w:rPr>
          <w:rFonts w:ascii="Calibri" w:hAnsi="Calibri" w:cs="Calibri"/>
          <w:rtl w:val="true"/>
          <w:lang w:val="en-US" w:eastAsia="he-IL"/>
        </w:rPr>
        <w:t>על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cs="Calibri" w:ascii="Calibri" w:hAnsi="Calibri"/>
          <w:lang w:val="en-US" w:eastAsia="he-IL"/>
        </w:rPr>
        <w:t>99</w:t>
      </w:r>
      <w:r>
        <w:rPr>
          <w:rFonts w:cs="Calibri" w:ascii="Calibri" w:hAnsi="Calibri"/>
          <w:rtl w:val="true"/>
          <w:lang w:val="en-US" w:eastAsia="he-IL"/>
        </w:rPr>
        <w:t>(</w:t>
      </w:r>
      <w:r>
        <w:rPr>
          <w:rFonts w:cs="Calibri" w:ascii="Calibri" w:hAnsi="Calibri"/>
          <w:lang w:val="en-US" w:eastAsia="he-IL"/>
        </w:rPr>
        <w:t>2</w:t>
      </w:r>
      <w:r>
        <w:rPr>
          <w:rFonts w:cs="Calibri" w:ascii="Calibri" w:hAnsi="Calibri"/>
          <w:rtl w:val="true"/>
          <w:lang w:val="en-US" w:eastAsia="he-IL"/>
        </w:rPr>
        <w:t xml:space="preserve">), </w:t>
      </w:r>
      <w:r>
        <w:rPr>
          <w:rFonts w:cs="Calibri" w:ascii="Calibri" w:hAnsi="Calibri"/>
          <w:lang w:val="en-US" w:eastAsia="he-IL"/>
        </w:rPr>
        <w:t>716</w:t>
      </w:r>
      <w:r>
        <w:rPr>
          <w:rFonts w:cs="Calibri" w:ascii="Calibri" w:hAnsi="Calibri"/>
          <w:rtl w:val="true"/>
          <w:lang w:val="en-US" w:eastAsia="he-IL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he-IL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סחר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הן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חמורות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מאד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הנשק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הנסחר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עלול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לעבור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מיד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ליד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הוא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אינו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נרכש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באופן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חוקי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וחזקה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היא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שהוא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נועד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לשמש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מטרה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חוקית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כשהוא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נמצא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בידי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אדם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שאינו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עבריין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מחבל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טמונה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סכנת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חיים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קל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וחומר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הוא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מתגלגל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ומגיע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לידי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עבריין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מחבל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ועלינו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לקחת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בחשבון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אפשרות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כזאת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להרתיע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מפניה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ולמנוע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הסכנה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הצפויה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מן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הנשק</w:t>
      </w:r>
      <w:r>
        <w:rPr>
          <w:rFonts w:cs="Calibri" w:ascii="Calibri" w:hAnsi="Calibri"/>
          <w:b/>
          <w:bCs/>
          <w:rtl w:val="true"/>
          <w:lang w:val="en-US" w:eastAsia="he-IL"/>
        </w:rPr>
        <w:t>"</w:t>
      </w:r>
      <w:r>
        <w:rPr>
          <w:rFonts w:cs="Calibri" w:ascii="Calibri" w:hAnsi="Calibri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he-IL"/>
        </w:rPr>
        <w:t>וכן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rtl w:val="true"/>
          <w:lang w:val="en-US" w:eastAsia="he-IL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he-IL"/>
          </w:rPr>
          <w:t>4050/08</w:t>
        </w:r>
      </w:hyperlink>
      <w:r>
        <w:rPr>
          <w:rFonts w:cs="Calibri" w:ascii="Calibri" w:hAnsi="Calibri"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נתנאל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ליבוביץ</w:t>
      </w:r>
      <w:r>
        <w:rPr>
          <w:rFonts w:cs="Calibri" w:ascii="Calibri" w:hAnsi="Calibri"/>
          <w:b/>
          <w:bCs/>
          <w:u w:val="single"/>
          <w:rtl w:val="true"/>
          <w:lang w:val="en-US" w:eastAsia="he-IL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ואח</w:t>
      </w:r>
      <w:r>
        <w:rPr>
          <w:rFonts w:cs="Calibri" w:ascii="Calibri" w:hAnsi="Calibri"/>
          <w:b/>
          <w:bCs/>
          <w:u w:val="single"/>
          <w:rtl w:val="true"/>
          <w:lang w:val="en-US" w:eastAsia="he-IL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נ</w:t>
      </w:r>
      <w:r>
        <w:rPr>
          <w:rFonts w:cs="Calibri" w:ascii="Calibri" w:hAnsi="Calibri"/>
          <w:b/>
          <w:bCs/>
          <w:u w:val="single"/>
          <w:rtl w:val="true"/>
          <w:lang w:val="en-US" w:eastAsia="he-IL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>ישראל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Fonts w:cs="Calibri" w:ascii="Calibri" w:hAnsi="Calibri"/>
          <w:rtl w:val="true"/>
          <w:lang w:val="en-US" w:eastAsia="he-IL"/>
        </w:rPr>
        <w:t xml:space="preserve">, </w:t>
      </w:r>
      <w:r>
        <w:rPr>
          <w:rFonts w:ascii="Calibri" w:hAnsi="Calibri" w:cs="Calibri"/>
          <w:rtl w:val="true"/>
          <w:lang w:val="en-US" w:eastAsia="he-IL"/>
        </w:rPr>
        <w:t>תק</w:t>
      </w:r>
      <w:r>
        <w:rPr>
          <w:rFonts w:cs="Calibri" w:ascii="Calibri" w:hAnsi="Calibri"/>
          <w:rtl w:val="true"/>
          <w:lang w:val="en-US" w:eastAsia="he-IL"/>
        </w:rPr>
        <w:t>-</w:t>
      </w:r>
      <w:r>
        <w:rPr>
          <w:rFonts w:ascii="Calibri" w:hAnsi="Calibri" w:cs="Calibri"/>
          <w:rtl w:val="true"/>
          <w:lang w:val="en-US" w:eastAsia="he-IL"/>
        </w:rPr>
        <w:t>על</w:t>
      </w:r>
      <w:r>
        <w:rPr>
          <w:rFonts w:ascii="Calibri" w:hAnsi="Calibri" w:cs="Calibri"/>
          <w:rtl w:val="true"/>
          <w:lang w:val="en-US" w:eastAsia="he-IL"/>
        </w:rPr>
        <w:t xml:space="preserve"> </w:t>
      </w:r>
      <w:r>
        <w:rPr>
          <w:rFonts w:cs="Calibri" w:ascii="Calibri" w:hAnsi="Calibri"/>
          <w:lang w:val="en-US" w:eastAsia="he-IL"/>
        </w:rPr>
        <w:t>2008</w:t>
      </w:r>
      <w:r>
        <w:rPr>
          <w:rFonts w:cs="Calibri" w:ascii="Calibri" w:hAnsi="Calibri"/>
          <w:rtl w:val="true"/>
          <w:lang w:val="en-US" w:eastAsia="he-IL"/>
        </w:rPr>
        <w:t>(</w:t>
      </w:r>
      <w:r>
        <w:rPr>
          <w:rFonts w:cs="Calibri" w:ascii="Calibri" w:hAnsi="Calibri"/>
          <w:lang w:val="en-US" w:eastAsia="he-IL"/>
        </w:rPr>
        <w:t>3</w:t>
      </w:r>
      <w:r>
        <w:rPr>
          <w:rFonts w:cs="Calibri" w:ascii="Calibri" w:hAnsi="Calibri"/>
          <w:rtl w:val="true"/>
          <w:lang w:val="en-US" w:eastAsia="he-IL"/>
        </w:rPr>
        <w:t xml:space="preserve">), </w:t>
      </w:r>
      <w:r>
        <w:rPr>
          <w:rFonts w:cs="Calibri" w:ascii="Calibri" w:hAnsi="Calibri"/>
          <w:lang w:val="en-US" w:eastAsia="he-IL"/>
        </w:rPr>
        <w:t>2211</w:t>
      </w:r>
      <w:r>
        <w:rPr>
          <w:rFonts w:cs="Calibri" w:ascii="Calibri" w:hAnsi="Calibri"/>
          <w:rtl w:val="true"/>
          <w:lang w:val="en-US" w:eastAsia="he-IL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he-IL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באשר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לעבירות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בנשק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זה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שבתוך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עמו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הוא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יושב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חזר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פעמים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אין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ספור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היחס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המחמיר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שיש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לנקוט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כלפיהן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הדברים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ברורים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כשמש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המחזיקים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בעבירה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הסוחרים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בו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פי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רוב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וככלל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אינם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עושים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זאת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אלא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לצרכי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אחרות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הכרוכות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באלימות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בהפחדה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נשק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נועד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לירות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וטבעו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שבשעת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</w:t>
      </w:r>
      <w:r>
        <w:rPr>
          <w:rFonts w:cs="Calibri" w:ascii="Calibri" w:hAnsi="Calibri"/>
          <w:b/>
          <w:bCs/>
          <w:rtl w:val="true"/>
          <w:lang w:val="en-US" w:eastAsia="he-IL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צורך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הסובייקטיבי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זדוני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ומרושע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ככל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שיהיה</w:t>
      </w:r>
      <w:r>
        <w:rPr>
          <w:rFonts w:cs="Calibri" w:ascii="Calibri" w:hAnsi="Calibri"/>
          <w:b/>
          <w:bCs/>
          <w:rtl w:val="true"/>
          <w:lang w:val="en-US"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עלולה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האצבע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להיות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קלה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he-IL"/>
        </w:rPr>
        <w:t>ההדק</w:t>
      </w:r>
      <w:r>
        <w:rPr>
          <w:rFonts w:cs="Calibri" w:ascii="Calibri" w:hAnsi="Calibri"/>
          <w:b/>
          <w:bCs/>
          <w:rtl w:val="true"/>
          <w:lang w:val="en-US" w:eastAsia="he-IL"/>
        </w:rPr>
        <w:t>"</w:t>
      </w:r>
      <w:r>
        <w:rPr>
          <w:rFonts w:cs="Calibri" w:ascii="Calibri" w:hAnsi="Calibri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קוקאין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10.17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3,800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cs="Calibri" w:ascii="Calibri" w:hAnsi="Calibri"/>
          <w:lang w:val="en-US" w:eastAsia="en-US"/>
        </w:rPr>
        <w:t>94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MADA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2,920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ובהזדמנות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MADA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2,940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בכמויות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תמורת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במאבק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בהפצת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מדיח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בכמויות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נגישים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שמכירות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כשבועיים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28,000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שיזם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המכירה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לרכוש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בבדיקה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מאוחרת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נתגלה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תקוע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בגזירת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שהקונה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ופוטנציאל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40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מרתיע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הכספי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המונח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בצידן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u w:val="single"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בתוך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המתחם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u w:val="single"/>
          <w:lang w:val="en-US" w:eastAsia="en-US"/>
        </w:rPr>
      </w:pPr>
      <w:r>
        <w:rPr>
          <w:rFonts w:cs="Calibri" w:ascii="Calibri" w:hAnsi="Calibri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המצדיקות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לחומרה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קודמות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והסתיימה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לתועלת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פתוחים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שהסתיימו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בגזירת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לשלבו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בטיפול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נתון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יובא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מנגד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בהערכת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להציב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נתון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להשפעה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נדרשת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תכלול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שימחיש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ומשמעות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התנהלות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בעתיד</w:t>
      </w:r>
      <w:r>
        <w:rPr>
          <w:rFonts w:cs="Calibri" w:ascii="Calibri" w:hAnsi="Calibri"/>
          <w:rtl w:val="true"/>
          <w:lang w:val="en-US" w:eastAsia="en-US"/>
        </w:rPr>
        <w:t xml:space="preserve">".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בסיכומו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התחתון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המתחמים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0" w:start="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13.11.2019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12.1.2020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9.9.2020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המסוכנים</w:t>
        </w:r>
      </w:hyperlink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תשלומים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ורצופים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Fonts w:ascii="Calibri" w:hAnsi="Calibri" w:cs="Calibri"/>
          <w:rtl w:val="true"/>
          <w:lang w:val="en-US" w:eastAsia="en-US"/>
        </w:rPr>
        <w:t>התשלום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1.3.2021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והתשלומים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לחודש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יבוצע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במועדו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תעמוד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יתרת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לפירעון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מהיום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Style w:val="FrankRuehl14"/>
        </w:rPr>
      </w:pPr>
      <w:r>
        <w:rPr>
          <w:rStyle w:val="FrankRuehl14"/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Style w:val="FrankRuehl14"/>
          <w:b/>
          <w:bCs/>
          <w:u w:val="single"/>
        </w:rPr>
      </w:pPr>
      <w:r>
        <w:rPr>
          <w:rStyle w:val="FrankRuehl14"/>
          <w:b/>
          <w:b/>
          <w:bCs/>
          <w:u w:val="single"/>
          <w:rtl w:val="true"/>
        </w:rPr>
        <w:t>המזכירות</w:t>
      </w:r>
      <w:r>
        <w:rPr>
          <w:rStyle w:val="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FrankRuehl14"/>
          <w:b/>
          <w:b/>
          <w:bCs/>
          <w:u w:val="single"/>
          <w:rtl w:val="true"/>
        </w:rPr>
        <w:t>תשלח</w:t>
      </w:r>
      <w:r>
        <w:rPr>
          <w:rStyle w:val="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FrankRuehl14"/>
          <w:b/>
          <w:b/>
          <w:bCs/>
          <w:u w:val="single"/>
          <w:rtl w:val="true"/>
        </w:rPr>
        <w:t>העתק</w:t>
      </w:r>
      <w:r>
        <w:rPr>
          <w:rStyle w:val="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FrankRuehl14"/>
          <w:b/>
          <w:b/>
          <w:bCs/>
          <w:u w:val="single"/>
          <w:rtl w:val="true"/>
        </w:rPr>
        <w:t>גזר</w:t>
      </w:r>
      <w:r>
        <w:rPr>
          <w:rStyle w:val="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FrankRuehl14"/>
          <w:b/>
          <w:b/>
          <w:bCs/>
          <w:u w:val="single"/>
          <w:rtl w:val="true"/>
        </w:rPr>
        <w:t>הדין</w:t>
      </w:r>
      <w:r>
        <w:rPr>
          <w:rStyle w:val="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FrankRuehl14"/>
          <w:b/>
          <w:b/>
          <w:bCs/>
          <w:u w:val="single"/>
          <w:rtl w:val="true"/>
        </w:rPr>
        <w:t>לשירות</w:t>
      </w:r>
      <w:r>
        <w:rPr>
          <w:rStyle w:val="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FrankRuehl14"/>
          <w:b/>
          <w:b/>
          <w:bCs/>
          <w:u w:val="single"/>
          <w:rtl w:val="true"/>
        </w:rPr>
        <w:t>המבחן</w:t>
      </w:r>
      <w:r>
        <w:rPr>
          <w:rStyle w:val="FrankRuehl14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Style w:val="FrankRuehl14"/>
          <w:b/>
          <w:bCs/>
          <w:u w:val="single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Normal"/>
        <w:ind w:start="5040" w:end="0"/>
        <w:jc w:val="start"/>
        <w:rPr/>
      </w:pPr>
      <w:bookmarkStart w:id="11" w:name="Nitan"/>
      <w:r>
        <w:rPr>
          <w:rStyle w:val="FrankRuehl14"/>
          <w:rFonts w:ascii="Arial" w:hAnsi="Arial"/>
          <w:color w:val="FFFFFF"/>
        </w:rPr>
        <w:t>5129371</w:t>
      </w:r>
      <w:r>
        <w:rPr>
          <w:rStyle w:val="FrankRuehl14"/>
          <w:rFonts w:ascii="Arial" w:hAnsi="Arial"/>
          <w:rtl w:val="true"/>
        </w:rPr>
        <w:t>ניתן היום</w:t>
      </w:r>
      <w:r>
        <w:rPr>
          <w:rStyle w:val="FrankRuehl14"/>
          <w:rFonts w:ascii="Arial" w:hAnsi="Arial"/>
          <w:rtl w:val="true"/>
        </w:rPr>
        <w:t xml:space="preserve">,  </w:t>
      </w:r>
      <w:r>
        <w:rPr>
          <w:rStyle w:val="FrankRuehl14"/>
          <w:rFonts w:ascii="Arial" w:hAnsi="Arial"/>
          <w:rtl w:val="true"/>
        </w:rPr>
        <w:t>ט</w:t>
      </w:r>
      <w:r>
        <w:rPr>
          <w:rStyle w:val="FrankRuehl14"/>
          <w:rFonts w:ascii="Arial" w:hAnsi="Arial"/>
          <w:rtl w:val="true"/>
        </w:rPr>
        <w:t>"</w:t>
      </w:r>
      <w:r>
        <w:rPr>
          <w:rStyle w:val="FrankRuehl14"/>
          <w:rFonts w:ascii="Arial" w:hAnsi="Arial"/>
          <w:rtl w:val="true"/>
        </w:rPr>
        <w:t>ז כסלו תשפ</w:t>
      </w:r>
      <w:r>
        <w:rPr>
          <w:rStyle w:val="FrankRuehl14"/>
          <w:rFonts w:ascii="Arial" w:hAnsi="Arial"/>
          <w:rtl w:val="true"/>
        </w:rPr>
        <w:t>"</w:t>
      </w:r>
      <w:r>
        <w:rPr>
          <w:rStyle w:val="FrankRuehl14"/>
          <w:rFonts w:ascii="Arial" w:hAnsi="Arial"/>
          <w:rtl w:val="true"/>
        </w:rPr>
        <w:t>א</w:t>
      </w:r>
      <w:r>
        <w:rPr>
          <w:rStyle w:val="FrankRuehl14"/>
          <w:rFonts w:ascii="Arial" w:hAnsi="Arial"/>
          <w:rtl w:val="true"/>
        </w:rPr>
        <w:t xml:space="preserve">, </w:t>
      </w:r>
      <w:r>
        <w:rPr>
          <w:rStyle w:val="FrankRuehl14"/>
          <w:rFonts w:ascii="Arial" w:hAnsi="Arial"/>
        </w:rPr>
        <w:t>02</w:t>
      </w:r>
      <w:r>
        <w:rPr>
          <w:rStyle w:val="FrankRuehl14"/>
          <w:rFonts w:ascii="Arial" w:hAnsi="Arial"/>
          <w:rtl w:val="true"/>
        </w:rPr>
        <w:t xml:space="preserve"> </w:t>
      </w:r>
      <w:r>
        <w:rPr>
          <w:rStyle w:val="FrankRuehl14"/>
          <w:rFonts w:ascii="Arial" w:hAnsi="Arial"/>
          <w:rtl w:val="true"/>
        </w:rPr>
        <w:t xml:space="preserve">דצמבר </w:t>
      </w:r>
      <w:r>
        <w:rPr>
          <w:rStyle w:val="FrankRuehl14"/>
          <w:rFonts w:ascii="Arial" w:hAnsi="Arial"/>
        </w:rPr>
        <w:t>2020</w:t>
      </w:r>
      <w:r>
        <w:rPr>
          <w:rStyle w:val="FrankRuehl14"/>
          <w:rFonts w:ascii="Arial" w:hAnsi="Arial"/>
          <w:rtl w:val="true"/>
        </w:rPr>
        <w:t xml:space="preserve">, </w:t>
      </w:r>
      <w:r>
        <w:rPr>
          <w:rStyle w:val="FrankRuehl14"/>
          <w:rFonts w:ascii="Arial" w:hAnsi="Arial"/>
          <w:rtl w:val="true"/>
        </w:rPr>
        <w:t xml:space="preserve">במעמד הצדדים </w:t>
      </w:r>
      <w:r>
        <w:rPr>
          <w:rStyle w:val="FrankRuehl14"/>
          <w:rFonts w:ascii="Arial" w:hAnsi="Arial"/>
          <w:rtl w:val="true"/>
        </w:rPr>
        <w:t>(</w:t>
      </w:r>
      <w:r>
        <w:rPr>
          <w:rStyle w:val="FrankRuehl14"/>
          <w:rFonts w:ascii="Arial" w:hAnsi="Arial"/>
          <w:rtl w:val="true"/>
        </w:rPr>
        <w:t xml:space="preserve">הנאשם באמצעות </w:t>
      </w:r>
      <w:r>
        <w:rPr>
          <w:rStyle w:val="FrankRuehl14"/>
          <w:rFonts w:ascii="Arial" w:hAnsi="Arial"/>
        </w:rPr>
        <w:t>VC</w:t>
      </w:r>
      <w:r>
        <w:rPr>
          <w:rStyle w:val="FrankRuehl14"/>
          <w:rFonts w:ascii="Arial" w:hAnsi="Arial"/>
          <w:rtl w:val="true"/>
        </w:rPr>
        <w:t xml:space="preserve"> ). </w:t>
      </w:r>
      <w:bookmarkEnd w:id="11"/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tabs>
          <w:tab w:val="clear" w:pos="720"/>
          <w:tab w:val="left" w:pos="7680" w:leader="none"/>
        </w:tabs>
        <w:ind w:end="0"/>
        <w:jc w:val="start"/>
        <w:rPr/>
      </w:pPr>
      <w:r>
        <w:rPr>
          <w:color w:val="0000FF"/>
          <w:u w:val="single"/>
          <w:rtl w:val="true"/>
        </w:rPr>
        <w:tab/>
      </w:r>
      <w:r>
        <w:rPr>
          <w:color w:val="0000FF"/>
          <w:u w:val="single"/>
          <w:rtl w:val="true"/>
        </w:rPr>
        <w:t xml:space="preserve"> 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58524-11-19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מוסלם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laceholderText">
    <w:name w:val="Placeholder Text"/>
    <w:qFormat/>
    <w:rPr>
      <w:color w:val="808080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both"/>
    </w:pPr>
    <w:rPr>
      <w:rFonts w:ascii="Calibri" w:hAnsi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9a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/19a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3558094" TargetMode="External"/><Relationship Id="rId18" Type="http://schemas.openxmlformats.org/officeDocument/2006/relationships/hyperlink" Target="http://www.nevo.co.il/case/23875433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law/70301/40c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case/23750625" TargetMode="External"/><Relationship Id="rId23" Type="http://schemas.openxmlformats.org/officeDocument/2006/relationships/hyperlink" Target="http://www.nevo.co.il/case/26568495" TargetMode="External"/><Relationship Id="rId24" Type="http://schemas.openxmlformats.org/officeDocument/2006/relationships/hyperlink" Target="http://www.nevo.co.il/case/26327799" TargetMode="External"/><Relationship Id="rId25" Type="http://schemas.openxmlformats.org/officeDocument/2006/relationships/hyperlink" Target="http://www.nevo.co.il/case/25097236" TargetMode="External"/><Relationship Id="rId26" Type="http://schemas.openxmlformats.org/officeDocument/2006/relationships/hyperlink" Target="http://www.nevo.co.il/case/5608364" TargetMode="External"/><Relationship Id="rId27" Type="http://schemas.openxmlformats.org/officeDocument/2006/relationships/hyperlink" Target="http://www.nevo.co.il/case/5573493" TargetMode="External"/><Relationship Id="rId28" Type="http://schemas.openxmlformats.org/officeDocument/2006/relationships/hyperlink" Target="http://www.nevo.co.il/case/20240530" TargetMode="External"/><Relationship Id="rId29" Type="http://schemas.openxmlformats.org/officeDocument/2006/relationships/hyperlink" Target="http://www.nevo.co.il/case/26438816" TargetMode="External"/><Relationship Id="rId30" Type="http://schemas.openxmlformats.org/officeDocument/2006/relationships/hyperlink" Target="http://www.nevo.co.il/case/26498142" TargetMode="External"/><Relationship Id="rId31" Type="http://schemas.openxmlformats.org/officeDocument/2006/relationships/hyperlink" Target="http://www.nevo.co.il/case/25073654" TargetMode="External"/><Relationship Id="rId32" Type="http://schemas.openxmlformats.org/officeDocument/2006/relationships/hyperlink" Target="http://www.nevo.co.il/case/26246488" TargetMode="External"/><Relationship Id="rId33" Type="http://schemas.openxmlformats.org/officeDocument/2006/relationships/hyperlink" Target="http://www.nevo.co.il/case/7779334" TargetMode="External"/><Relationship Id="rId34" Type="http://schemas.openxmlformats.org/officeDocument/2006/relationships/hyperlink" Target="http://www.nevo.co.il/case/2932177" TargetMode="External"/><Relationship Id="rId35" Type="http://schemas.openxmlformats.org/officeDocument/2006/relationships/hyperlink" Target="http://www.nevo.co.il/case/24287803" TargetMode="External"/><Relationship Id="rId36" Type="http://schemas.openxmlformats.org/officeDocument/2006/relationships/hyperlink" Target="http://www.nevo.co.il/case/5707014" TargetMode="External"/><Relationship Id="rId37" Type="http://schemas.openxmlformats.org/officeDocument/2006/relationships/hyperlink" Target="http://www.nevo.co.il/case/5891607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2021-10-11T08:27:00Z</dcterms:created>
  <dc:creator> </dc:creator>
  <dc:description/>
  <cp:keywords/>
  <dc:language>en-IL</dc:language>
  <cp:lastModifiedBy>h1</cp:lastModifiedBy>
  <dcterms:modified xsi:type="dcterms:W3CDTF">2021-10-11T08:27:00Z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מוסלם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23558094;23875433;23750625;26568495;26327799;25097236;5608364;5573493;20240530;26438816;26498142;25073654;26246488;7779334;2932177;24287803;5707014;5891607</vt:lpwstr>
  </property>
  <property fmtid="{D5CDD505-2E9C-101B-9397-08002B2CF9AE}" pid="9" name="CITY">
    <vt:lpwstr>י-ם</vt:lpwstr>
  </property>
  <property fmtid="{D5CDD505-2E9C-101B-9397-08002B2CF9AE}" pid="10" name="DATE">
    <vt:lpwstr>20201202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רבקה פרידמן פלדמן</vt:lpwstr>
  </property>
  <property fmtid="{D5CDD505-2E9C-101B-9397-08002B2CF9AE}" pid="14" name="LAWLISTTMP1">
    <vt:lpwstr>4216/013:2;019a:2</vt:lpwstr>
  </property>
  <property fmtid="{D5CDD505-2E9C-101B-9397-08002B2CF9AE}" pid="15" name="LAWLISTTMP2">
    <vt:lpwstr>70301/144.b2;040b;040c;40ja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58524</vt:lpwstr>
  </property>
  <property fmtid="{D5CDD505-2E9C-101B-9397-08002B2CF9AE}" pid="23" name="NEWPARTB">
    <vt:lpwstr>11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390020201202</vt:lpwstr>
  </property>
  <property fmtid="{D5CDD505-2E9C-101B-9397-08002B2CF9AE}" pid="35" name="TYPE_N_DATE">
    <vt:lpwstr>39020201202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