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58701-01-20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דרויש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</w:tc>
      </w:tr>
      <w:tr>
        <w:trPr>
          <w:trHeight w:val="563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פאדי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דרויש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רעד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יאסין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bookmarkStart w:id="2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2"/>
      <w:r>
        <w:rPr>
          <w:rFonts w:ascii="Arial" w:hAnsi="Arial" w:cs="Arial"/>
          <w:rtl w:val="true"/>
        </w:rPr>
        <w:t xml:space="preserve"> 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אדם סרי 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כאמיל עודה ועו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ריס ברהום 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חאתם סעב 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באמצעות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 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בעצמו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499</w:t>
        </w:r>
      </w:hyperlink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rFonts w:ascii="Arial" w:hAnsi="Arial" w:cs="FrankRuehl"/>
          <w:u w:val="single"/>
        </w:rPr>
      </w:pPr>
      <w:bookmarkStart w:id="8" w:name="PsakDin"/>
      <w:bookmarkEnd w:id="8"/>
      <w:r>
        <w:rPr>
          <w:rFonts w:cs="FrankRuehl" w:ascii="Arial" w:hAnsi="Arial"/>
          <w:u w:val="single"/>
          <w:rtl w:val="true"/>
        </w:rPr>
        <w:t>(</w:t>
      </w:r>
      <w:r>
        <w:rPr>
          <w:rFonts w:ascii="Arial" w:hAnsi="Arial" w:cs="FrankRuehl"/>
          <w:u w:val="single"/>
          <w:rtl w:val="true"/>
        </w:rPr>
        <w:t>בתיקון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FrankRuehl"/>
          <w:u w:val="single"/>
          <w:rtl w:val="true"/>
        </w:rPr>
        <w:t>טעות</w:t>
      </w:r>
      <w:r>
        <w:rPr>
          <w:rFonts w:ascii="Arial" w:hAnsi="Arial" w:eastAsia="Arial" w:cs="Arial"/>
          <w:u w:val="single"/>
          <w:rtl w:val="true"/>
        </w:rPr>
        <w:t xml:space="preserve"> </w:t>
      </w:r>
      <w:r>
        <w:rPr>
          <w:rFonts w:ascii="Arial" w:hAnsi="Arial" w:cs="FrankRuehl"/>
          <w:u w:val="single"/>
          <w:rtl w:val="true"/>
        </w:rPr>
        <w:t>קולמוס</w:t>
      </w:r>
      <w:r>
        <w:rPr>
          <w:rFonts w:cs="FrankRuehl" w:ascii="Arial" w:hAnsi="Arial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08.09.2020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זיכיתי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קשירת קשר לביצוע עבירה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 xml:space="preserve">עבירה לפי </w:t>
      </w:r>
      <w:hyperlink r:id="rId8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499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שהיא סחר בנשק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10" w:name="ABSTRACT_END"/>
      <w:bookmarkEnd w:id="10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הורשע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גם בעבירה של </w:t>
      </w:r>
      <w:r>
        <w:rPr>
          <w:rFonts w:ascii="Calibri" w:hAnsi="Calibri" w:cs="Calibri"/>
          <w:b/>
          <w:b/>
          <w:bCs/>
          <w:rtl w:val="true"/>
        </w:rPr>
        <w:t xml:space="preserve">החזקת נשק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 xml:space="preserve">עבירה לפי </w:t>
      </w:r>
      <w:hyperlink r:id="rId10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144</w:t>
        </w:r>
        <w:r>
          <w:rPr>
            <w:rStyle w:val="Hyperlink"/>
            <w:rFonts w:cs="Calibri" w:ascii="Calibri" w:hAnsi="Calibri"/>
            <w:b/>
            <w:bCs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א</w:t>
        </w:r>
        <w:r>
          <w:rPr>
            <w:rStyle w:val="Hyperlink"/>
            <w:rFonts w:cs="Calibri" w:ascii="Calibri" w:hAnsi="Calibri"/>
            <w:b/>
            <w:bCs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רישא </w:t>
      </w:r>
      <w:r>
        <w:rPr>
          <w:rFonts w:cs="Calibri" w:ascii="Calibri" w:hAnsi="Calibri"/>
          <w:b/>
          <w:bCs/>
          <w:rtl w:val="true"/>
        </w:rPr>
        <w:t xml:space="preserve">+ </w:t>
      </w:r>
      <w:r>
        <w:rPr>
          <w:rFonts w:ascii="Calibri" w:hAnsi="Calibri" w:cs="Calibri"/>
          <w:b/>
          <w:b/>
          <w:bCs/>
          <w:rtl w:val="true"/>
        </w:rPr>
        <w:t>סיפא</w:t>
      </w:r>
      <w:r>
        <w:rPr>
          <w:rFonts w:ascii="Calibri" w:hAnsi="Calibri" w:cs="Calibri"/>
          <w:rtl w:val="true"/>
        </w:rPr>
        <w:t xml:space="preserve"> 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המתייחסת לארבעה כדורים בקוטר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 המהווים תחמושת לנשק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נמצאו בחדרו של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ובחזקתו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העובדות מפורטות בהכרעת הדין ולא אחזור עליהן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אציין רק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בקצרה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בין הנאשמים קיימת היכרות מוקדמת וביום </w:t>
      </w:r>
      <w:r>
        <w:rPr>
          <w:rFonts w:cs="Calibri" w:ascii="Calibri" w:hAnsi="Calibri"/>
        </w:rPr>
        <w:t>6.1.2020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בסמוך לכך הם קשרו קשר לבצע עסקה בנשק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העסקה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קשירת הקשר נעשתה באמצעות מסרונים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מהם עולה שהנאשמים קשרו קשר למכור נשק תמורת סך של </w:t>
      </w:r>
      <w:r>
        <w:rPr>
          <w:rFonts w:cs="Calibri" w:ascii="Calibri" w:hAnsi="Calibri"/>
        </w:rPr>
        <w:t>5,500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במסרונים לא צוין סוג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הועברה ביניהם תמונה של נשק הנראה כתת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ראיות לעונש לגבי נאשם </w:t>
      </w:r>
      <w:r>
        <w:rPr>
          <w:rFonts w:cs="Calibri" w:ascii="Calibri" w:hAnsi="Calibri"/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>/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/ </w:t>
      </w:r>
      <w:r>
        <w:rPr>
          <w:rtl w:val="true"/>
        </w:rPr>
        <w:t>זריקה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יצור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tl w:val="true"/>
        </w:rPr>
        <w:t>/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13.09.2020</w:t>
      </w:r>
      <w:r>
        <w:rPr>
          <w:rtl w:val="true"/>
        </w:rPr>
        <w:t xml:space="preserve"> </w:t>
      </w:r>
      <w:r>
        <w:rPr>
          <w:rtl w:val="true"/>
        </w:rPr>
        <w:t>הוספו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tl w:val="true"/>
        </w:rPr>
        <w:t xml:space="preserve">,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נרחבים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הקובעת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פוטנציאלים</w:t>
      </w:r>
      <w:r>
        <w:rPr>
          <w:rtl w:val="true"/>
        </w:rPr>
        <w:t xml:space="preserve">,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),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)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במזל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tl w:val="true"/>
        </w:rPr>
        <w:t xml:space="preserve">,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והקטלני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עתר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u w:val="single"/>
          <w:rtl w:val="true"/>
        </w:rPr>
        <w:t>עבירת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</w:rPr>
        <w:t>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15</w:t>
      </w:r>
      <w:r>
        <w:rPr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5295/15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23.12.2015</w:t>
      </w:r>
      <w:r>
        <w:rPr>
          <w:rFonts w:cs="Miriam" w:ascii="Miriam" w:hAnsi="Miriam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u w:val="single"/>
          <w:rtl w:val="true"/>
        </w:rPr>
        <w:t>עבירת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התחמושת</w:t>
      </w:r>
      <w:r>
        <w:rPr>
          <w:rtl w:val="true"/>
        </w:rPr>
        <w:t>, (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לבין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)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ascii="David" w:hAnsi="David"/>
          <w:rtl w:val="true"/>
        </w:rPr>
        <w:t>ּ</w:t>
      </w:r>
      <w:r>
        <w:rPr>
          <w:rtl w:val="true"/>
        </w:rPr>
        <w:t>ע</w:t>
      </w:r>
      <w:r>
        <w:rPr>
          <w:rFonts w:ascii="David" w:hAnsi="David"/>
          <w:rtl w:val="true"/>
        </w:rPr>
        <w:t>ַ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לפורענות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בינוני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בינוני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השמיע טיעוניו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בישיבת יום </w:t>
      </w:r>
      <w:r>
        <w:rPr>
          <w:rFonts w:cs="David" w:ascii="David" w:hAnsi="David"/>
        </w:rPr>
        <w:t>13.09.2020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מחה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חלקים מסוימים בטיעוני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ההנחה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הכאילו מוסכמת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ממנה יוצאת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 המדובר בעניינינו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נשק </w:t>
      </w:r>
      <w:r>
        <w:rPr>
          <w:rFonts w:ascii="David" w:hAnsi="David"/>
          <w:u w:val="single"/>
          <w:rtl w:val="true"/>
        </w:rPr>
        <w:t>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הנחה בלתי נכונה ומנוגדת להכרעת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הרשיע בית המשפט את הנאשם בעבירה של קשירת קשר 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הפשע הוא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בשום מקום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קבע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שהנשק המדובר הוא תת מקלע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הבהיר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טיעונו של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לפיו הנשק אליו התכוונו הנאשמים במסרונים מהם עולה קשירת הקשר הוא התת המקלע שנתפס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טיעון שנדחה שוב ושוב בהכרעת הדין והמאשימה אף זנחה טיעון זה בסיכומיה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מחה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ניסיונה של המאשימה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לתור אחר מדרגי ענישה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שהבסיס הרעיוני שלהם שאוב מהפסיקה הנוהגת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וירי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בניסיון חסר תום 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לקבלו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ואף אין זה הגיוני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ליצור במסגרת עבירת הקשר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מדרגי ענישה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המתאימים לעבירת הפשע שבבסיס הקשר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הוסיף הסנגור 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גם במקרים בהם עבירת הפשע נמצאת בראש מדרג סולם החומרה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עדיין אי אפשר לצקת לתוך עבירת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כעבירה נפרדת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מדרגי הענישה הרלבנטיים לעבירת הפשע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הפנה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6637/17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אליזבת קרנדל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18.04.2018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כמעט אין בנמצא פסיקה המלמדת על רמת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במקרים נדירים עבירת הקשר עומדת בפני עצמה כעבירה בודדת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לנסיבות הקשורות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להתחשב לקולה בכך שעבירת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הורשעו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הסתכמה בהודעות כתובות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שיוחסו להם מעשים פיזיים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להתחשב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הוכח בפני בית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שהנאשמים החזיקו בנשק או שהייתה להם שליטה על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אפילו מרחוק ושאין נזק לקורבנות 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בנסיבות העניין </w:t>
      </w:r>
      <w:r>
        <w:rPr>
          <w:rFonts w:ascii="David" w:hAnsi="David"/>
          <w:b/>
          <w:b/>
          <w:bCs/>
          <w:u w:val="single"/>
          <w:rtl w:val="true"/>
        </w:rPr>
        <w:t xml:space="preserve">המתחם נע בין חודשי מאסר ספורים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שניתן לרצותם בעבודות שירות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לבין </w:t>
      </w:r>
      <w:r>
        <w:rPr>
          <w:rFonts w:cs="David" w:ascii="David" w:hAnsi="David"/>
          <w:b/>
          <w:bCs/>
          <w:u w:val="single"/>
        </w:rPr>
        <w:t>10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בהתייחס למידת העונש סבור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עליו להיות </w:t>
      </w:r>
      <w:r>
        <w:rPr>
          <w:rFonts w:ascii="David" w:hAnsi="David"/>
          <w:b/>
          <w:b/>
          <w:bCs/>
          <w:u w:val="single"/>
          <w:rtl w:val="true"/>
        </w:rPr>
        <w:t>קרוב לאמצע המתחם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מהצד התחתון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רק בשל עברו הפלילי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לקבוע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מכבר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לרצות את עונשו בגין העבירה בה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הוא יושב במעצר מזה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ארוכים – החל מיום </w:t>
      </w:r>
      <w:r>
        <w:rPr>
          <w:rFonts w:cs="David" w:ascii="David" w:hAnsi="David"/>
        </w:rPr>
        <w:t>14.01.2020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תנאי מעצר קשים מתנאי כליאה של אסיר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גם בכך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ושהוא גדל במשפחה קשת 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התייתם מאמו בגיל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ומאביו התייתם לפני כשלוש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ארבע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בכדי לדיונים שהתקיימו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התייצבה משפחה מצדו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אין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 למעט אח אחד 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היחסים עמו אינם טובים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עבד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בחברת י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ד מזגנים במעלות תרשיחא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בניגוד 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לא ניתן לזקוף לחובתו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ניהול ההליך הפלילי ואי קבלת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לאור הכרעת הדין בה הוא זוכה מעיקר האישומים נגדו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 פעולה לאורך על הדרך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הערים קשיים בחקירתו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ניסה לבצע תחבולות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מתחרט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עד כמה שאין משמעות החרטה לקיחת אחריות פלילית אשר עלולה לנגוס בזכויותיו להגיש ערעור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טיעוני 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הסנגור הגיש טיעונים בכתב  והוסיף טיעונים בעל פה בישיבת יום </w:t>
      </w:r>
      <w:r>
        <w:rPr>
          <w:rFonts w:cs="David" w:ascii="David" w:hAnsi="David"/>
        </w:rPr>
        <w:t>13.09.2020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הוא הצטרף לטיעוני סנגורו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רלוונטיים גם לגבי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בהתייחס לעבירת הקשר בה הורשעו שניהם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 בצעיר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עצור מזה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בפיקוח 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בן למשפחה נורמטיבית ולחובתו הרשעה אחת בלבד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מבית משפט לנוער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קיבל עונש של קנס בלבד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הגשת כתב האישום נגדו שינתה את חייו והקשתה עליו מבחינה 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נפשית וחברתית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מודע לנזק שנגרם לו כתוצאה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ממעשה שטות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בו היה מעורב והוא מבקש מבית המשפט לסלוח לו ולסייע לו לחזור לאורח חיים נורמטיבי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מדגיש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שלאורך כל תקופת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הקפיד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 לפגישות עם העובדת הסוציאלית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בתקופת המעצר הוגשו לגביו תסקירים חיוביים מטעם שירות המבחן והוא אף השתתף בקבוצות 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היום הוא נמצא בקשר עם שירות המבחן ומוכן לכל הליך שיקומי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מבקש להתחשב בגילו הצעיר ולהימנע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מהטלת עונש מאסר מאחורי סורג ובריח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יוטל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מאסר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יפגוש בכלא גורמים עבריינים שישפיעו עליו לרעה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 הדבר לגרום נזק לשיקומו ולהוביל לתוצאות הרסניות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חמור שכזה יפגע בצורה דרסטית במשפחתו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מעצרו עבד במפעל אריזה במושב שלומי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וסייע לפרנסת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נתונה בקשיים כלכליים חמורים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מבקש הסנגור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שבתשעת החודשים האחרונים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כבר הוגבלה חירותו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בצורה ניכרת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היה עצור כחודשיים מאחורי סורג ובריח ולאחר מכן היה נתון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בפיקוח אלקטרוני מוקפד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למשך שבעה חודשים נוספים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מבקש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לסטות ממתחם העונש לצורך שיקומו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ומציין כי קיים גם אינטרס ציבורי לשקמו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בהתייחס למתחם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עבירת החזקת 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בניגוד למתחם שביקשה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להסתפק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מספר ימים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מעבר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השאיר לשיקול דעת בית המשפט הטלת עונש נוסף כגון קנס או עונש 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 הסנגור להתחשב בנאשם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להסתפק בחודשי המעצר ובפיקוח האלקטרוני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ולקבוע שהוא כבר סיים לרצות את עונשו בגין העבירות בהן הורשע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0"/>
          <w:szCs w:val="10"/>
          <w:u w:val="single"/>
        </w:rPr>
      </w:pPr>
      <w:r>
        <w:rPr>
          <w:rFonts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וגזירת הדין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color w:val="000000"/>
          <w:rtl w:val="true"/>
        </w:rPr>
        <w:t>"</w:t>
      </w:r>
      <w:r>
        <w:rPr>
          <w:rFonts w:cs="Miriam"/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</w:t>
      </w:r>
      <w:r>
        <w:rPr>
          <w:rFonts w:cs="Miriam"/>
          <w:color w:val="000000"/>
          <w:rtl w:val="true"/>
        </w:rPr>
        <w:t>ו</w:t>
      </w:r>
      <w:r>
        <w:rPr>
          <w:rFonts w:cs="Miriam"/>
          <w:color w:val="000000"/>
          <w:rtl w:val="true"/>
        </w:rPr>
        <w:t>"</w:t>
      </w:r>
      <w:r>
        <w:rPr>
          <w:rFonts w:cs="Miriam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color w:val="000000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>, "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"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 החברתיים המוגנים שנפגעו כתוצאה מביצוע המעשים ובמידת הפגיעה בהם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בנסיבות הקשורות בביצוע המעשים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בנזק שנגרם ושהיה עלול להיגרם כתוצאה מהם ובמדיניות הענישה הנוהגת במקרים דומים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highlight w:val="magenta"/>
          <w:lang w:val="en-IL" w:eastAsia="en-IL"/>
        </w:rPr>
      </w:pPr>
      <w:r>
        <w:rPr>
          <w:rFonts w:cs="Arial" w:ascii="Arial" w:hAnsi="Arial"/>
          <w:lang w:val="en-IL" w:eastAsia="en-IL"/>
        </w:rPr>
        <w:t>34</w:t>
      </w:r>
      <w:r>
        <w:rPr>
          <w:rFonts w:cs="Arial" w:ascii="Arial" w:hAnsi="Arial"/>
          <w:rtl w:val="true"/>
          <w:lang w:val="en-IL" w:eastAsia="en-IL"/>
        </w:rPr>
        <w:t>.</w:t>
        <w:tab/>
      </w:r>
      <w:r>
        <w:rPr>
          <w:rFonts w:ascii="Arial" w:hAnsi="Arial" w:cs="Arial"/>
          <w:rtl w:val="true"/>
          <w:lang w:val="en-IL" w:eastAsia="en-IL"/>
        </w:rPr>
        <w:t>במצב של ריבוי מעשים ועבירות על בית המשפט לקבוע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תחילה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האם יש להתייחס לאישומים כאל </w:t>
      </w:r>
      <w:r>
        <w:rPr>
          <w:rFonts w:cs="Arial" w:ascii="Arial" w:hAnsi="Arial"/>
          <w:rtl w:val="true"/>
          <w:lang w:val="en-IL" w:eastAsia="en-IL"/>
        </w:rPr>
        <w:t>"</w:t>
      </w:r>
      <w:r>
        <w:rPr>
          <w:rFonts w:ascii="Arial" w:hAnsi="Arial" w:cs="Arial"/>
          <w:rtl w:val="true"/>
          <w:lang w:val="en-IL" w:eastAsia="en-IL"/>
        </w:rPr>
        <w:t>אירוע אחד</w:t>
      </w:r>
      <w:r>
        <w:rPr>
          <w:rFonts w:cs="Arial" w:ascii="Arial" w:hAnsi="Arial"/>
          <w:rtl w:val="true"/>
          <w:lang w:val="en-IL" w:eastAsia="en-IL"/>
        </w:rPr>
        <w:t xml:space="preserve">" </w:t>
      </w:r>
      <w:r>
        <w:rPr>
          <w:rFonts w:ascii="Arial" w:hAnsi="Arial" w:cs="Arial"/>
          <w:rtl w:val="true"/>
          <w:lang w:val="en-IL" w:eastAsia="en-IL"/>
        </w:rPr>
        <w:t xml:space="preserve">או שמא מדובר </w:t>
      </w:r>
      <w:r>
        <w:rPr>
          <w:rFonts w:cs="Arial" w:ascii="Arial" w:hAnsi="Arial"/>
          <w:rtl w:val="true"/>
          <w:lang w:val="en-IL" w:eastAsia="en-IL"/>
        </w:rPr>
        <w:t>"</w:t>
      </w:r>
      <w:r>
        <w:rPr>
          <w:rFonts w:ascii="Arial" w:hAnsi="Arial" w:cs="Arial"/>
          <w:rtl w:val="true"/>
          <w:lang w:val="en-IL" w:eastAsia="en-IL"/>
        </w:rPr>
        <w:t>במספר אירועים</w:t>
      </w:r>
      <w:r>
        <w:rPr>
          <w:rFonts w:cs="Arial" w:ascii="Arial" w:hAnsi="Arial"/>
          <w:rtl w:val="true"/>
          <w:lang w:val="en-IL" w:eastAsia="en-IL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highlight w:val="magenta"/>
          <w:lang w:val="en-IL" w:eastAsia="en-IL"/>
        </w:rPr>
      </w:pPr>
      <w:r>
        <w:rPr>
          <w:rFonts w:cs="Arial" w:ascii="Arial" w:hAnsi="Arial"/>
          <w:highlight w:val="magenta"/>
          <w:rtl w:val="true"/>
          <w:lang w:val="en-IL" w:eastAsia="en-IL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rtl w:val="true"/>
          <w:lang w:val="en-IL" w:eastAsia="en-IL"/>
        </w:rPr>
        <w:t>בענייננו הדברים פשוטים ואינם צריכים הסבר רב</w:t>
      </w:r>
      <w:r>
        <w:rPr>
          <w:rFonts w:cs="Arial" w:ascii="Arial" w:hAnsi="Arial"/>
          <w:rtl w:val="true"/>
          <w:lang w:val="en-IL" w:eastAsia="en-IL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  <w:lang w:val="en-IL" w:eastAsia="en-IL"/>
        </w:rPr>
        <w:t>יש לראות בעבירת הקשר אשר יוחסה לשני הנאשמים</w:t>
      </w:r>
      <w:r>
        <w:rPr>
          <w:rFonts w:cs="Arial" w:ascii="Arial" w:hAnsi="Arial"/>
          <w:b/>
          <w:bCs/>
          <w:u w:val="single"/>
          <w:rtl w:val="true"/>
          <w:lang w:val="en-IL" w:eastAsia="en-IL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IL" w:eastAsia="en-IL"/>
        </w:rPr>
        <w:t>עבירה נפרדת</w:t>
      </w:r>
      <w:r>
        <w:rPr>
          <w:rFonts w:cs="Arial" w:ascii="Arial" w:hAnsi="Arial"/>
          <w:b/>
          <w:bCs/>
          <w:u w:val="single"/>
          <w:rtl w:val="true"/>
          <w:lang w:val="en-IL" w:eastAsia="en-IL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IL" w:eastAsia="en-IL"/>
        </w:rPr>
        <w:t xml:space="preserve">מעבירת החזקת התחמושת אשר יוחסה לנאשם </w:t>
      </w:r>
      <w:r>
        <w:rPr>
          <w:rFonts w:cs="Arial" w:ascii="Arial" w:hAnsi="Arial"/>
          <w:b/>
          <w:bCs/>
          <w:u w:val="single"/>
          <w:lang w:val="en-IL" w:eastAsia="en-IL"/>
        </w:rPr>
        <w:t>2</w:t>
      </w:r>
      <w:r>
        <w:rPr>
          <w:rFonts w:cs="Arial" w:ascii="Arial" w:hAnsi="Arial"/>
          <w:b/>
          <w:bCs/>
          <w:u w:val="single"/>
          <w:rtl w:val="true"/>
          <w:lang w:val="en-IL" w:eastAsia="en-IL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IL" w:eastAsia="en-IL"/>
        </w:rPr>
        <w:t>בלבד</w:t>
      </w:r>
      <w:r>
        <w:rPr>
          <w:rFonts w:ascii="Arial" w:hAnsi="Arial" w:cs="Arial"/>
          <w:rtl w:val="true"/>
          <w:lang w:val="en-IL" w:eastAsia="en-IL"/>
        </w:rPr>
        <w:t xml:space="preserve"> שכן על אף נסיונו של ב</w:t>
      </w:r>
      <w:r>
        <w:rPr>
          <w:rFonts w:cs="Arial" w:ascii="Arial" w:hAnsi="Arial"/>
          <w:rtl w:val="true"/>
          <w:lang w:val="en-IL" w:eastAsia="en-IL"/>
        </w:rPr>
        <w:t>"</w:t>
      </w:r>
      <w:r>
        <w:rPr>
          <w:rFonts w:ascii="Arial" w:hAnsi="Arial" w:cs="Arial"/>
          <w:rtl w:val="true"/>
          <w:lang w:val="en-IL" w:eastAsia="en-IL"/>
        </w:rPr>
        <w:t xml:space="preserve">כ המאשימה לטעון לקשר בין הכדורים שנמצאו בחדרו של נאשם </w:t>
      </w:r>
      <w:r>
        <w:rPr>
          <w:rFonts w:cs="Arial" w:ascii="Arial" w:hAnsi="Arial"/>
          <w:lang w:val="en-IL" w:eastAsia="en-IL"/>
        </w:rPr>
        <w:t>2</w:t>
      </w:r>
      <w:r>
        <w:rPr>
          <w:rFonts w:cs="Arial" w:ascii="Arial" w:hAnsi="Arial"/>
          <w:rtl w:val="true"/>
          <w:lang w:val="en-IL" w:eastAsia="en-IL"/>
        </w:rPr>
        <w:t xml:space="preserve"> (</w:t>
      </w:r>
      <w:r>
        <w:rPr>
          <w:rFonts w:ascii="Arial" w:hAnsi="Arial" w:cs="Arial"/>
          <w:rtl w:val="true"/>
          <w:lang w:val="en-IL" w:eastAsia="en-IL"/>
        </w:rPr>
        <w:t xml:space="preserve">אשר נאשם </w:t>
      </w:r>
      <w:r>
        <w:rPr>
          <w:rFonts w:cs="Arial" w:ascii="Arial" w:hAnsi="Arial"/>
          <w:lang w:val="en-IL" w:eastAsia="en-IL"/>
        </w:rPr>
        <w:t>1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כלל לא הואשם בהחזקתם</w:t>
      </w:r>
      <w:r>
        <w:rPr>
          <w:rFonts w:cs="Arial" w:ascii="Arial" w:hAnsi="Arial"/>
          <w:rtl w:val="true"/>
          <w:lang w:val="en-IL" w:eastAsia="en-IL"/>
        </w:rPr>
        <w:t xml:space="preserve">) </w:t>
      </w:r>
      <w:r>
        <w:rPr>
          <w:rFonts w:ascii="Arial" w:hAnsi="Arial" w:cs="Arial"/>
          <w:rtl w:val="true"/>
          <w:lang w:val="en-IL" w:eastAsia="en-IL"/>
        </w:rPr>
        <w:t>לבין קשירת הקשר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אין 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 xml:space="preserve">כל </w:t>
      </w:r>
      <w:r>
        <w:rPr>
          <w:rFonts w:ascii="Arial" w:hAnsi="Arial" w:cs="Arial"/>
          <w:rtl w:val="true"/>
          <w:lang w:val="en-IL" w:eastAsia="en-IL"/>
        </w:rPr>
        <w:t>הוכחה לקשר שכזה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ברי כי מדובר בשני אירועים נפרדים לחלוטין ו</w:t>
      </w:r>
      <w:r>
        <w:rPr>
          <w:spacing w:val="8"/>
          <w:rtl w:val="true"/>
        </w:rPr>
        <w:t>לפיכך</w:t>
      </w:r>
      <w:r>
        <w:rPr>
          <w:rFonts w:cs="Times New Roman"/>
          <w:spacing w:val="8"/>
          <w:rtl w:val="true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אקבע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במקרה זה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מתחם עונש הולם </w:t>
      </w:r>
      <w:r>
        <w:rPr>
          <w:rFonts w:ascii="Arial" w:hAnsi="Arial" w:cs="Arial"/>
          <w:b/>
          <w:b/>
          <w:bCs/>
          <w:u w:val="single"/>
          <w:rtl w:val="true"/>
          <w:lang w:val="en-IL" w:eastAsia="en-IL"/>
        </w:rPr>
        <w:t>נפרד</w:t>
      </w:r>
      <w:r>
        <w:rPr>
          <w:rFonts w:ascii="Arial" w:hAnsi="Arial" w:cs="Arial"/>
          <w:rtl w:val="true"/>
          <w:lang w:val="en-IL" w:eastAsia="en-IL"/>
        </w:rPr>
        <w:t xml:space="preserve"> לעבירת הקשר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בה הורשעו שני הנאשמים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ומתחם עונש הולם </w:t>
      </w:r>
      <w:r>
        <w:rPr>
          <w:rFonts w:ascii="Arial" w:hAnsi="Arial" w:cs="Arial"/>
          <w:b/>
          <w:b/>
          <w:bCs/>
          <w:u w:val="single"/>
          <w:rtl w:val="true"/>
          <w:lang w:val="en-IL" w:eastAsia="en-IL"/>
        </w:rPr>
        <w:t>נפרד</w:t>
      </w:r>
      <w:r>
        <w:rPr>
          <w:rFonts w:ascii="Arial" w:hAnsi="Arial" w:cs="Arial"/>
          <w:rtl w:val="true"/>
          <w:lang w:val="en-IL" w:eastAsia="en-IL"/>
        </w:rPr>
        <w:t xml:space="preserve"> לעבירת החזקת התחמושת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בה הורשע נאשם </w:t>
      </w:r>
      <w:r>
        <w:rPr>
          <w:rFonts w:cs="Arial" w:ascii="Arial" w:hAnsi="Arial"/>
          <w:lang w:val="en-IL" w:eastAsia="en-IL"/>
        </w:rPr>
        <w:t>2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בלבד</w:t>
      </w:r>
      <w:r>
        <w:rPr>
          <w:rFonts w:cs="Arial" w:ascii="Arial" w:hAnsi="Arial"/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IL" w:eastAsia="en-IL"/>
        </w:rPr>
      </w:pPr>
      <w:r>
        <w:rPr>
          <w:rFonts w:cs="Arial" w:ascii="Arial" w:hAnsi="Arial"/>
          <w:b/>
          <w:bCs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IL" w:eastAsia="en-IL"/>
        </w:rPr>
      </w:pPr>
      <w:r>
        <w:rPr>
          <w:rFonts w:cs="Arial" w:ascii="Arial" w:hAnsi="Arial"/>
          <w:b/>
          <w:bCs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IL" w:eastAsia="en-IL"/>
        </w:rPr>
      </w:pPr>
      <w:r>
        <w:rPr>
          <w:rFonts w:ascii="Arial" w:hAnsi="Arial" w:cs="Arial"/>
          <w:b/>
          <w:b/>
          <w:bCs/>
          <w:u w:val="single"/>
          <w:rtl w:val="true"/>
          <w:lang w:val="en-IL" w:eastAsia="en-IL"/>
        </w:rPr>
        <w:t>המתחם לעבירת הקשר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IL" w:eastAsia="en-IL"/>
        </w:rPr>
      </w:pPr>
      <w:r>
        <w:rPr>
          <w:rFonts w:cs="Arial" w:ascii="Arial" w:hAnsi="Arial"/>
          <w:b/>
          <w:bCs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 כל ספק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היא עבירה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הערכים החברתיים המוגנים בעבירה זו הם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שמירת החיים והגוף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תחושת הביטחון של הפרט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ושלטון 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בקביעת מתחמי ענישה הולמים לעבירת קשירת הקשר יש בהחלט משמעות לשאלה מהי העבירה שלשם ביצועה נקשר הקשר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ברי כי אין דינו של קשר לבצע עבירת 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כדינו של קשר לביצוע עבירת סחר בנשק או כדינו של קשר לביצוע עבירת רצח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חומרתו של כל קשר נמדדת על פי עניינו ועל פי נסיבות ביצועו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אף שהקשר לא יצא אל הפועל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בעצם קשירת קשר לסחר בנשק משום פוטנציאל לפגיעה משמעותית בציבור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עלה מהמסרונים שהוחלפו בין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כבר יש להם קונה לנשק בתמורה ל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5,500</w:t>
      </w:r>
      <w:r>
        <w:rPr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זהותו של קונה זה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הנאשמים הבינו היטב את מעשיהם והייתה להם שליטה מלאה על התנהלותם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מהמסרונים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"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לנזק שנגרם כתוצאה ממעשי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על אף שלא הוכחה עסקת נשק או ניסיון לסחר בנשק ולא התרחשה פגיעה פיזית באנשים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להביא בחשבון את הנזק הפוטנציאלי אשר טמון בעצם קשירת קשר לביצוע עבירה חמורה כסחר בנשק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570" w:start="57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למדיניות הענישה הנוהגת אומר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הפסיקה מציינת את החשיבות הרבה בענישה מחמירה ומרתיעה בעבירות בנשק וזאת במטרה לעקור מן השורש את התופעה של עסקאות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המבוצעות ללא כל מורא מהחוק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קיימת סכנה ממשית שעסקאות שכאלו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הנעשות ללא כל בקרה ובמחשכים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עשויות לגלגל את הנשק לידיים מסוכנות ולהביא לפגיעה בחיי אדם או בגופם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חומרת העבירה אף משתקפת מהענישה אותה קבע המחוקק בצד העבירה של קשירת קשר לפשע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בפסיקה ניתן למצוא מנעד רחב של ענישה בעבירות נשק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כמו גם בעבירות אחרות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אולם ניכרת מדיניות של גזירת עונשי מאסר בפועל בעבירות מסוג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גם כאשר מדובר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בקשירת 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שהיא החוליה הראשונה בעבירה של סחר בנשק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7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57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6371/11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אנס הייבי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 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, (</w:t>
      </w:r>
      <w:r>
        <w:rPr>
          <w:rFonts w:cs="Calibri" w:ascii="Calibri" w:hAnsi="Calibri"/>
        </w:rPr>
        <w:t>18.12.2011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נאמר כי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rtl w:val="true"/>
        </w:rPr>
        <w:t>עבירות בנשק חומרתן מכופלת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הן בעצם המעבר על החוק והן ובמוטעם במאטריה הספציפית</w:t>
      </w:r>
      <w:r>
        <w:rPr>
          <w:rFonts w:cs="Miriam" w:ascii="Miriam" w:hAnsi="Miriam"/>
          <w:rtl w:val="true"/>
        </w:rPr>
        <w:t xml:space="preserve">; </w:t>
      </w:r>
      <w:r>
        <w:rPr>
          <w:rFonts w:ascii="Miriam" w:hAnsi="Miriam" w:cs="Miriam"/>
          <w:rtl w:val="true"/>
        </w:rPr>
        <w:t>נשק שאינו כדין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קרי </w:t>
      </w:r>
      <w:r>
        <w:rPr>
          <w:rFonts w:cs="Miriam" w:ascii="Miriam" w:hAnsi="Miriam"/>
          <w:rtl w:val="true"/>
        </w:rPr>
        <w:t xml:space="preserve">- </w:t>
      </w:r>
      <w:r>
        <w:rPr>
          <w:rFonts w:ascii="Miriam" w:hAnsi="Miriam" w:cs="Miriam"/>
          <w:rtl w:val="true"/>
        </w:rPr>
        <w:t>ברישיון כדבעי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מועד לפורענות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זכורה האמירה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אם ראית במחזה תיאטרון אקדח במערכה הראשונה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סופו שיירה במערכה השנייה או השלישית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הימצאו של נשק בידיים לא נכונות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עלול להביא בסופו של יום אף לקיפוד חיי אדם ר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ל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ב</w:t>
      </w:r>
      <w:hyperlink r:id="rId17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2251/11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נפאע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Miriam" w:ascii="Miriam" w:hAnsi="Miriam"/>
          <w:rtl w:val="true"/>
        </w:rPr>
        <w:t>([</w:t>
      </w:r>
      <w:r>
        <w:rPr>
          <w:rFonts w:ascii="Miriam" w:hAnsi="Miriam" w:cs="Miriam"/>
          <w:rtl w:val="true"/>
        </w:rPr>
        <w:t>פורסם בנבו</w:t>
      </w:r>
      <w:r>
        <w:rPr>
          <w:rFonts w:cs="Miriam" w:ascii="Miriam" w:hAnsi="Miriam"/>
          <w:rtl w:val="true"/>
        </w:rPr>
        <w:t xml:space="preserve">], </w:t>
      </w:r>
      <w:r>
        <w:rPr>
          <w:rFonts w:cs="Miriam" w:ascii="Miriam" w:hAnsi="Miriam"/>
        </w:rPr>
        <w:t>4.12.11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Miriam" w:hAnsi="Miriam" w:cs="Miriam"/>
          <w:rtl w:val="true"/>
        </w:rPr>
        <w:t>שעסק בפרשה זו עצמה לגבי נאשם אחר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ציינה השופטת חיות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5</w:t>
      </w:r>
      <w:r>
        <w:rPr>
          <w:rFonts w:cs="Miriam" w:ascii="Miriam" w:hAnsi="Miriam"/>
          <w:rtl w:val="true"/>
        </w:rPr>
        <w:t xml:space="preserve">), </w:t>
      </w:r>
      <w:r>
        <w:rPr>
          <w:rFonts w:ascii="Miriam" w:hAnsi="Miriam" w:cs="Miriam"/>
          <w:rtl w:val="true"/>
        </w:rPr>
        <w:t xml:space="preserve">כי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סחר בלתי חוקי בנשק סולל את הדרך לפעילות אלימה ובלתי חוקית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והדבר חמור שבעתיים במציאות הישראלית בה קיים חשש תמיד כי נשק המוחזק באופן בלתי חוקי יתגלגל לא רק לידיים עברייניות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עניין חמור לעצמו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כי אם לידיהם של אלה המבקשים להוציא אל הפועל פעילות חבלנית עוינת </w:t>
      </w:r>
      <w:r>
        <w:rPr>
          <w:rFonts w:cs="David" w:ascii="David" w:hAnsi="David"/>
          <w:rtl w:val="true"/>
        </w:rPr>
        <w:t>[...]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על כן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כל מי שהופך עצמו </w:t>
      </w:r>
      <w:r>
        <w:rPr>
          <w:rFonts w:ascii="Miriam" w:hAnsi="Miriam" w:cs="Miriam"/>
          <w:b/>
          <w:b/>
          <w:bCs/>
          <w:u w:val="single"/>
          <w:rtl w:val="true"/>
        </w:rPr>
        <w:t>לחוליה</w:t>
      </w:r>
      <w:r>
        <w:rPr>
          <w:rFonts w:ascii="Miriam" w:hAnsi="Miriam" w:cs="Miriam"/>
          <w:rtl w:val="true"/>
        </w:rPr>
        <w:t xml:space="preserve"> במנגנון זה של סחר בלתי חוקי בנשק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מוחזק כמי שמבין ויודע אל נכון מה עלולות להיות התוצאות הנובעות ממעשיו ומהן הסכנות הנשקפות ממעשים אלה לחברה כולה</w:t>
      </w:r>
      <w:r>
        <w:rPr>
          <w:rFonts w:cs="David" w:ascii="David" w:hAnsi="David"/>
          <w:rtl w:val="true"/>
        </w:rPr>
        <w:t>"</w:t>
      </w:r>
      <w:r>
        <w:rPr>
          <w:rFonts w:cs="Miriam" w:ascii="Miriam" w:hAnsi="Miriam"/>
          <w:rtl w:val="true"/>
        </w:rPr>
        <w:t xml:space="preserve">; </w:t>
      </w:r>
      <w:r>
        <w:rPr>
          <w:rFonts w:ascii="Miriam" w:hAnsi="Miriam" w:cs="Miriam"/>
          <w:rtl w:val="true"/>
        </w:rPr>
        <w:t>וראו גם האסמכתאות שם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דברים אלה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שאנו מצטרפים אליהם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ודומיהם שנכתבו לאורך השנים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משקפים את מדיניות הענישה המבקשת להחמיר עם העבריינים כדי להגן על הציבור באמצעות הרתעה וגמול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ולתרום את חלקם של בתי המשפט במאבק בכך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קשירת קשר גם היא חוליה במנגנון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חוליה ראשונית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57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57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4460/11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פאיד</w:t>
      </w:r>
      <w:r>
        <w:rPr>
          <w:rFonts w:cs="Miriam" w:ascii="Miriam" w:hAnsi="Miriam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פסקה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28.11.2011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המתייחס אמנם להחזקת 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נאמר כי</w:t>
      </w:r>
      <w:r>
        <w:rPr>
          <w:rFonts w:cs="Calibri" w:ascii="Calibri" w:hAnsi="Calibri"/>
          <w:rtl w:val="true"/>
        </w:rPr>
        <w:t>: "</w:t>
      </w:r>
      <w:r>
        <w:rPr>
          <w:rFonts w:ascii="Miriam" w:hAnsi="Miriam" w:cs="Miriam"/>
          <w:rtl w:val="true"/>
        </w:rPr>
        <w:t>אכן נראה לנו כי הגיעה השעה להחמיר בעבירות של החזקת נשק ושימוש בו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נשק המוחזק שלא כדין עלול למצוא דרכו לידים עוינות ועלול גם לשמש למטרות פליליות</w:t>
      </w:r>
      <w:r>
        <w:rPr>
          <w:rFonts w:cs="David" w:ascii="David" w:hAnsi="David"/>
          <w:rtl w:val="true"/>
        </w:rPr>
        <w:t>".</w:t>
      </w:r>
      <w:r>
        <w:rPr>
          <w:rFonts w:cs="Miriam" w:ascii="Miriam" w:hAnsi="Miriam"/>
          <w:rtl w:val="true"/>
        </w:rPr>
        <w:t xml:space="preserve"> </w:t>
      </w:r>
      <w:r>
        <w:rPr>
          <w:rFonts w:ascii="Calibri" w:hAnsi="Calibri" w:cs="Calibri"/>
          <w:rtl w:val="true"/>
        </w:rPr>
        <w:t>וראו גם</w:t>
      </w:r>
      <w:r>
        <w:rPr>
          <w:rFonts w:cs="Calibri" w:ascii="Calibri" w:hAnsi="Calibri"/>
          <w:rtl w:val="true"/>
        </w:rPr>
        <w:t xml:space="preserve">: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3138/11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עפיף הייבי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06.03.2012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 נאמר</w:t>
      </w:r>
      <w:r>
        <w:rPr>
          <w:rFonts w:cs="David" w:ascii="David" w:hAnsi="David"/>
          <w:rtl w:val="true"/>
        </w:rPr>
        <w:t>: "</w:t>
      </w:r>
      <w:r>
        <w:rPr>
          <w:rFonts w:ascii="Miriam" w:hAnsi="Miriam" w:cs="Miriam"/>
          <w:rtl w:val="true"/>
        </w:rPr>
        <w:t>אין ערוך למסוכנות הסחר הבלתי חוקי בנשק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נשק שכזה עושה את דרכו בדרך לא דרך לידיים עברייניות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לגורמים עויינים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לשימוש פלילי ולפעילות טרור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סכנת נפשות ליחידים ולציבור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בשיקולי הענישה בכגון דא יש לבכּר את האינטרס החברתי הכולל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על פני נסיבותיו האישיות של נאשם</w:t>
      </w:r>
      <w:r>
        <w:rPr>
          <w:rFonts w:cs="David" w:ascii="David" w:hAnsi="David"/>
          <w:rtl w:val="true"/>
        </w:rPr>
        <w:t>"</w:t>
      </w:r>
      <w:r>
        <w:rPr>
          <w:rFonts w:cs="Miriam" w:ascii="Miriam" w:hAnsi="Miriam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57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בהתייחס לעבירת </w:t>
      </w:r>
      <w:r>
        <w:rPr>
          <w:rFonts w:ascii="Calibri" w:hAnsi="Calibri" w:cs="Calibri"/>
          <w:b/>
          <w:b/>
          <w:bCs/>
          <w:u w:val="single"/>
          <w:rtl w:val="true"/>
        </w:rPr>
        <w:t>קשירת קשר</w:t>
      </w:r>
      <w:r>
        <w:rPr>
          <w:rFonts w:ascii="Calibri" w:hAnsi="Calibri" w:cs="Calibri"/>
          <w:u w:val="single"/>
          <w:rtl w:val="true"/>
        </w:rPr>
        <w:t xml:space="preserve"> לסחר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 ב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33077-12-11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אחמד כאמל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03.09.2012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 הורשע 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במסגרת הסדר טיעון</w:t>
      </w:r>
      <w:r>
        <w:rPr>
          <w:rFonts w:ascii="Calibri" w:hAnsi="Calibri" w:cs="Calibri"/>
          <w:rtl w:val="true"/>
        </w:rPr>
        <w:t xml:space="preserve"> בעבירה של קשירת קשר לביצוע 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שעניינו מכירת נשק לאחר שהוכח שהוא סיכם עם אדם אחר למכור לו נשק מסוג </w:t>
      </w:r>
      <w:r>
        <w:rPr>
          <w:rFonts w:ascii="Calibri" w:hAnsi="Calibri" w:cs="Calibri"/>
          <w:b/>
          <w:b/>
          <w:bCs/>
          <w:u w:val="single"/>
          <w:rtl w:val="true"/>
        </w:rPr>
        <w:t>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השית עליו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עונש של </w:t>
      </w:r>
      <w:r>
        <w:rPr>
          <w:rFonts w:cs="Calibri" w:ascii="Calibri" w:hAnsi="Calibri"/>
          <w:b/>
          <w:bCs/>
          <w:u w:val="single"/>
        </w:rPr>
        <w:t>8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 מאסר בפועל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מאסר מותנה של </w:t>
      </w:r>
      <w:r>
        <w:rPr>
          <w:rFonts w:cs="Calibri" w:ascii="Calibri" w:hAnsi="Calibri"/>
          <w:b/>
          <w:bCs/>
          <w:u w:val="single"/>
        </w:rPr>
        <w:t>26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חודשים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וקנס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שבית המשפט התחשב בגילו הצעיר של הנאשם ובכך שלא היו לו הרשעות 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ערעור שהגיש הנאשם לבית המשפט העליון </w:t>
      </w:r>
      <w:r>
        <w:rPr>
          <w:rFonts w:cs="Calibri" w:ascii="Calibri" w:hAnsi="Calibri"/>
          <w:rtl w:val="true"/>
        </w:rPr>
        <w:t>(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6985/12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אחמד כמאל נפאפעה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17.3.2013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כבוד השופט 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רובינשטיין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rtl w:val="true"/>
        </w:rPr>
        <w:t>שותפים אנו לגישה המחמירה לעניין עבירות נשק שנקט בית משפט זה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במיוחד בתקופה האחרונה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ובמסר הכולל ענישה מכאיבה שעיקרה שיקולי הרתעה וגמול</w:t>
      </w:r>
      <w:r>
        <w:rPr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7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57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388-05-10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חאג</w:t>
      </w:r>
      <w:r>
        <w:rPr>
          <w:rFonts w:cs="Miriam" w:ascii="Miriam" w:hAnsi="Miriam"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</w:t>
      </w:r>
      <w:r>
        <w:rPr>
          <w:rFonts w:cs="Calibri" w:ascii="Calibri" w:hAnsi="Calibri"/>
        </w:rPr>
        <w:t>11.2011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הורשע הנאשם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cs="Calibri" w:ascii="Calibri" w:hAnsi="Calibri"/>
          <w:u w:val="single"/>
          <w:rtl w:val="true"/>
        </w:rPr>
        <w:t>-</w:t>
      </w:r>
      <w:r>
        <w:rPr>
          <w:rFonts w:ascii="Calibri" w:hAnsi="Calibri" w:cs="Calibri"/>
          <w:u w:val="single"/>
          <w:rtl w:val="true"/>
        </w:rPr>
        <w:t>פי הודאתו</w:t>
      </w:r>
      <w:r>
        <w:rPr>
          <w:rFonts w:ascii="Calibri" w:hAnsi="Calibri" w:cs="Calibri"/>
          <w:rtl w:val="true"/>
        </w:rPr>
        <w:t xml:space="preserve"> </w:t>
      </w:r>
      <w:r>
        <w:rPr>
          <w:b/>
          <w:b/>
          <w:bCs/>
          <w:rtl w:val="true"/>
        </w:rPr>
        <w:t>בקשירת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 נפגש עם סוכן 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וסיכם עמו למכור לו רובה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תמורת </w:t>
      </w:r>
      <w:r>
        <w:rPr>
          <w:rFonts w:cs="Calibri" w:ascii="Calibri" w:hAnsi="Calibri"/>
        </w:rPr>
        <w:t>70,000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>וכן שוחח אתו על אפשרות למכור לו כלי נשק 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התחשב 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שהרשעותיו הקודמות של הנאשם לא כללו עבירות נשק ובמעצר הבית הממושך בו שהה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והשית עליו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עונש של </w:t>
      </w:r>
      <w:r>
        <w:rPr>
          <w:rFonts w:cs="Calibri" w:ascii="Calibri" w:hAnsi="Calibri"/>
          <w:b/>
          <w:bCs/>
          <w:u w:val="single"/>
        </w:rPr>
        <w:t>9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 מאסר בפועל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מאסר מותנה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וקנס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ערעור שהוגש </w:t>
      </w:r>
      <w:r>
        <w:rPr>
          <w:rFonts w:cs="Calibri" w:ascii="Calibri" w:hAnsi="Calibri"/>
          <w:rtl w:val="true"/>
        </w:rPr>
        <w:t>(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8866/11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חאג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22.3.2012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כבוד השופט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סולברג</w:t>
      </w:r>
      <w:r>
        <w:rPr>
          <w:rFonts w:cs="Calibri" w:ascii="Calibri" w:hAnsi="Calibri"/>
          <w:rtl w:val="true"/>
        </w:rPr>
        <w:t xml:space="preserve">))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70" w:end="0"/>
        <w:contextualSpacing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57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באר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7498-11-14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אלצראיעה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30.3.2017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הורשע הנאשם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cs="Calibri" w:ascii="Calibri" w:hAnsi="Calibri"/>
          <w:u w:val="single"/>
          <w:rtl w:val="true"/>
        </w:rPr>
        <w:t>-</w:t>
      </w:r>
      <w:r>
        <w:rPr>
          <w:rFonts w:ascii="Calibri" w:hAnsi="Calibri" w:cs="Calibri"/>
          <w:u w:val="single"/>
          <w:rtl w:val="true"/>
        </w:rPr>
        <w:t>פי הודאתו</w:t>
      </w:r>
      <w:r>
        <w:rPr>
          <w:rFonts w:ascii="Calibri" w:hAnsi="Calibri" w:cs="Calibri"/>
          <w:rtl w:val="true"/>
        </w:rPr>
        <w:t xml:space="preserve"> בעבירות הבאות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קשירת קשר 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 עבירות של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 עבירות של נשיאת נשק והובלתו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גניבה וניסיון לסחר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צעיר בן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עבר 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שמתחם העונש ההולם נע בין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אולם לאור נסיבותיו האישיות החריגות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הושת עליו עונש של </w:t>
      </w:r>
      <w:r>
        <w:rPr>
          <w:rFonts w:cs="Calibri" w:ascii="Calibri" w:hAnsi="Calibri"/>
          <w:b/>
          <w:bCs/>
          <w:u w:val="single"/>
        </w:rPr>
        <w:t>6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 מאסר בעבודות שירות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מאסר מותנה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 אין להקיש ממקרה זה לענייננו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70" w:end="0"/>
        <w:contextualSpacing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41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הפנה 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5295/15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23.12.2015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בנוגע לנאשם מחמוד לחאם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Miriam" w:hAnsi="Miriam" w:cs="Miriam"/>
          <w:rtl w:val="true"/>
        </w:rPr>
        <w:t>עניין לחאם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 xml:space="preserve">שם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11,000</w:t>
      </w:r>
      <w:r>
        <w:rPr>
          <w:rtl w:val="true"/>
        </w:rPr>
        <w:t xml:space="preserve"> ₪.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 xml:space="preserve">מתחם העונש נע בין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 xml:space="preserve">חודשי מאסר לבין </w:t>
      </w:r>
      <w:r>
        <w:rPr>
          <w:rFonts w:cs="Calibri" w:ascii="Calibri" w:hAnsi="Calibri"/>
          <w:u w:val="single"/>
        </w:rPr>
        <w:t>15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</w:t>
      </w:r>
      <w:r>
        <w:rPr>
          <w:rFonts w:ascii="Calibri" w:hAnsi="Calibri" w:cs="Calibri"/>
          <w:rtl w:val="true"/>
        </w:rPr>
        <w:t xml:space="preserve"> והוא נדון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70" w:end="0"/>
        <w:contextualSpacing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570" w:end="0"/>
        <w:contextualSpacing/>
        <w:jc w:val="both"/>
        <w:rPr/>
      </w:pPr>
      <w:r>
        <w:rPr>
          <w:rFonts w:ascii="Calibri" w:hAnsi="Calibri" w:cs="Calibri"/>
          <w:rtl w:val="true"/>
        </w:rPr>
        <w:t>הסנגור טען 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בשונה מהמקרה 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בעניין </w:t>
      </w:r>
      <w:r>
        <w:rPr>
          <w:rFonts w:ascii="Miriam" w:hAnsi="Miriam" w:cs="Miriam"/>
          <w:rtl w:val="true"/>
        </w:rPr>
        <w:t>לחאם</w:t>
      </w:r>
      <w:r>
        <w:rPr>
          <w:rFonts w:ascii="Calibri" w:hAnsi="Calibri" w:cs="Calibri"/>
          <w:rtl w:val="true"/>
        </w:rPr>
        <w:t xml:space="preserve"> הקשר הרעיוני הבשיל 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מעשה בנשק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של איתור האקדח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בעוד שבענייננו  לא הוכח שהייתה לנאשמים גישה לנשק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 שהבאתי בחשבון את כל האמור לעיל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b/>
          <w:b/>
          <w:bCs/>
          <w:u w:val="single"/>
          <w:rtl w:val="true"/>
        </w:rPr>
        <w:t>אני קובעת כי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מתחם העונש ההולם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במקרה זה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את העבירה של קשירת קשר לסחר בנשק נע בין </w:t>
      </w:r>
      <w:r>
        <w:rPr>
          <w:rFonts w:cs="Calibri" w:ascii="Calibri" w:hAnsi="Calibri"/>
          <w:b/>
          <w:bCs/>
          <w:u w:val="single"/>
        </w:rPr>
        <w:t>6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</w:t>
      </w:r>
      <w:r>
        <w:rPr>
          <w:rFonts w:cs="Calibri" w:ascii="Calibri" w:hAnsi="Calibri"/>
          <w:b/>
          <w:bCs/>
          <w:u w:val="single"/>
          <w:rtl w:val="true"/>
        </w:rPr>
        <w:t xml:space="preserve">- </w:t>
      </w:r>
      <w:r>
        <w:rPr>
          <w:rFonts w:cs="Calibri" w:ascii="Calibri" w:hAnsi="Calibri"/>
          <w:b/>
          <w:bCs/>
          <w:u w:val="single"/>
        </w:rPr>
        <w:t>15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570" w:start="57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570" w:start="57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570" w:start="57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570" w:start="57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570" w:start="57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החזקת התחמושת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 בנוסף לעבירת 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בעבירה של החזקת 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לאחר </w:t>
      </w:r>
      <w:r>
        <w:rPr>
          <w:rFonts w:ascii="David" w:hAnsi="David"/>
          <w:rtl w:val="true"/>
        </w:rPr>
        <w:t xml:space="preserve">שבמזוודה שבחדרו נמצאו ארבעה 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המהווים תחמושת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 כפי שפורט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אחזור על 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570" w:start="57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העבירה של החזקת תחמושת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אשר בצדה קבוע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) </w:t>
      </w:r>
      <w:r>
        <w:rPr>
          <w:rFonts w:ascii="Calibri" w:hAnsi="Calibri" w:cs="Calibri"/>
          <w:rtl w:val="true"/>
        </w:rPr>
        <w:t>חמורה בפני עצמה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כאשר לא נמצא עמה כלי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הערכים החברתיים המוגנים שנפגעים כתוצאה מעבירה של החזקת תחמושת הם שלום הציבור ושמירת החיים והגוף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 זאת יש 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הפגיעה בערכים אלה איננה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 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בעוצמה גבוהה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57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בסעיף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להנחיית פרקליט המדינה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9.16</w:t>
      </w:r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07.08.2016</w:t>
      </w:r>
      <w:r>
        <w:rPr>
          <w:rtl w:val="true"/>
        </w:rPr>
        <w:t xml:space="preserve">) </w:t>
      </w:r>
      <w:r>
        <w:rPr>
          <w:rtl w:val="true"/>
        </w:rPr>
        <w:t>שפורסמה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בכל הנוגע להחזקת תחמושת בכמות של קליעים בודדים יש לטעון למתחם 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הנע </w:t>
      </w:r>
      <w:r>
        <w:rPr>
          <w:rFonts w:ascii="Calibri" w:hAnsi="Calibri" w:cs="Calibri"/>
          <w:u w:val="single"/>
          <w:rtl w:val="true"/>
        </w:rPr>
        <w:t>מ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בעבודות שירות עד ל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ככל שכמות התחמושת גבוהה 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 בהתאמה גם מתחם העונש גבוה יותר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המתחם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הנסיבות במקרה זה ולפיכך אני קובעת כי </w:t>
      </w:r>
      <w:r>
        <w:rPr>
          <w:rFonts w:ascii="David" w:hAnsi="David"/>
          <w:b/>
          <w:b/>
          <w:bCs/>
          <w:u w:val="single"/>
          <w:rtl w:val="true"/>
        </w:rPr>
        <w:t xml:space="preserve">מתחם העונש ההולם לעבירה של החזקת כדורי התחמושת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נע בין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לבין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גזירת הדין בעניינו של נאשם </w:t>
      </w:r>
      <w:r>
        <w:rPr>
          <w:rFonts w:cs="David" w:ascii="David" w:hAnsi="David"/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)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-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23.3.1995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14.01.20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2010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)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שולח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tl w:val="true"/>
        </w:rPr>
        <w:t xml:space="preserve">, </w:t>
      </w:r>
      <w:hyperlink r:id="rId2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וחזרתו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tl w:val="true"/>
        </w:rPr>
        <w:t xml:space="preserve">" </w:t>
      </w:r>
      <w:r>
        <w:rPr>
          <w:rtl w:val="true"/>
        </w:rPr>
        <w:t>ובסעיף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כפירה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ייזקפו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לאור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14.1.20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2.9.1999</w:t>
      </w:r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במאוחד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וחתימה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",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גבול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בטרם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15.01.2020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11.03.2020</w:t>
      </w:r>
      <w:r>
        <w:rPr>
          <w:rtl w:val="true"/>
        </w:rPr>
        <w:t xml:space="preserve">)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)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tl w:val="true"/>
        </w:rPr>
        <w:t xml:space="preserve">)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ולדרדרו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לחרוג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57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לאור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15.1.20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11.3.20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אבהיר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מהפער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אלול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color w:val="FFFFFF"/>
          <w:sz w:val="28"/>
          <w:szCs w:val="28"/>
        </w:rPr>
      </w:pPr>
      <w:r>
        <w:rPr>
          <w:rFonts w:cs="FrankRueh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58701-01-20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פאדי דרויש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.4" TargetMode="External"/><Relationship Id="rId6" Type="http://schemas.openxmlformats.org/officeDocument/2006/relationships/hyperlink" Target="http://www.nevo.co.il/law/70301/40ja.6" TargetMode="External"/><Relationship Id="rId7" Type="http://schemas.openxmlformats.org/officeDocument/2006/relationships/hyperlink" Target="http://www.nevo.co.il/law/70301/499" TargetMode="External"/><Relationship Id="rId8" Type="http://schemas.openxmlformats.org/officeDocument/2006/relationships/hyperlink" Target="http://www.nevo.co.il/law/70301/49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0487019" TargetMode="External"/><Relationship Id="rId13" Type="http://schemas.openxmlformats.org/officeDocument/2006/relationships/hyperlink" Target="http://www.nevo.co.il/case/22938500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b" TargetMode="External"/><Relationship Id="rId16" Type="http://schemas.openxmlformats.org/officeDocument/2006/relationships/hyperlink" Target="http://www.nevo.co.il/case/5594385" TargetMode="External"/><Relationship Id="rId17" Type="http://schemas.openxmlformats.org/officeDocument/2006/relationships/hyperlink" Target="http://www.nevo.co.il/case/5821327" TargetMode="External"/><Relationship Id="rId18" Type="http://schemas.openxmlformats.org/officeDocument/2006/relationships/hyperlink" Target="http://www.nevo.co.il/case/5958231" TargetMode="External"/><Relationship Id="rId19" Type="http://schemas.openxmlformats.org/officeDocument/2006/relationships/hyperlink" Target="http://www.nevo.co.il/case/5878120" TargetMode="External"/><Relationship Id="rId20" Type="http://schemas.openxmlformats.org/officeDocument/2006/relationships/hyperlink" Target="http://www.nevo.co.il/case/2875710" TargetMode="External"/><Relationship Id="rId21" Type="http://schemas.openxmlformats.org/officeDocument/2006/relationships/hyperlink" Target="http://www.nevo.co.il/case/5598555" TargetMode="External"/><Relationship Id="rId22" Type="http://schemas.openxmlformats.org/officeDocument/2006/relationships/hyperlink" Target="http://www.nevo.co.il/case/5460494" TargetMode="External"/><Relationship Id="rId23" Type="http://schemas.openxmlformats.org/officeDocument/2006/relationships/hyperlink" Target="http://www.nevo.co.il/case/5610199" TargetMode="External"/><Relationship Id="rId24" Type="http://schemas.openxmlformats.org/officeDocument/2006/relationships/hyperlink" Target="http://www.nevo.co.il/case/18128667" TargetMode="External"/><Relationship Id="rId25" Type="http://schemas.openxmlformats.org/officeDocument/2006/relationships/hyperlink" Target="http://www.nevo.co.il/case/2048701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ja.4" TargetMode="External"/><Relationship Id="rId29" Type="http://schemas.openxmlformats.org/officeDocument/2006/relationships/hyperlink" Target="http://www.nevo.co.il/law/70301/40ja.6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2021-10-11T08:31:00Z</dcterms:created>
  <dc:creator> </dc:creator>
  <dc:description/>
  <cp:keywords/>
  <dc:language>en-IL</dc:language>
  <cp:lastModifiedBy>h1</cp:lastModifiedBy>
  <dcterms:modified xsi:type="dcterms:W3CDTF">2021-10-11T08:31:00Z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דרויש;רעד יאסין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20487019:2;5594385;5821327;5958231;5878120;2875710;5598555;5460494;5610199;18128667</vt:lpwstr>
  </property>
  <property fmtid="{D5CDD505-2E9C-101B-9397-08002B2CF9AE}" pid="9" name="CITY">
    <vt:lpwstr>חי'</vt:lpwstr>
  </property>
  <property fmtid="{D5CDD505-2E9C-101B-9397-08002B2CF9AE}" pid="10" name="DATE">
    <vt:lpwstr>20200917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70301/499;144.a;040b;40ja.4;40ja.6</vt:lpwstr>
  </property>
  <property fmtid="{D5CDD505-2E9C-101B-9397-08002B2CF9AE}" pid="15" name="LAWYER">
    <vt:lpwstr>אדם סרי;כאמיל עודה; ג'ריס ברהום;חאתם סעב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58701</vt:lpwstr>
  </property>
  <property fmtid="{D5CDD505-2E9C-101B-9397-08002B2CF9AE}" pid="22" name="NEWPARTB">
    <vt:lpwstr>01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390020200917</vt:lpwstr>
  </property>
  <property fmtid="{D5CDD505-2E9C-101B-9397-08002B2CF9AE}" pid="34" name="TYPE_N_DATE">
    <vt:lpwstr>39020200917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