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9146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958"/>
        <w:gridCol w:w="76"/>
        <w:gridCol w:w="52"/>
      </w:tblGrid>
      <w:tr>
        <w:trPr>
          <w:trHeight w:val="418" w:hRule="exact"/>
        </w:trPr>
        <w:tc>
          <w:tcPr>
            <w:tcW w:w="9146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58770-07-22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גברילוב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4034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5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9018" w:type="dxa"/>
            <w:gridSpan w:val="2"/>
            <w:tcBorders/>
          </w:tcPr>
          <w:p>
            <w:pPr>
              <w:pStyle w:val="Normal"/>
              <w:spacing w:lineRule="auto" w:line="48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bookmarkStart w:id="1" w:name="FirstAppellant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 ארז פורת</w:t>
            </w:r>
            <w:r>
              <w:rPr>
                <w:rStyle w:val="TimesNewRomanTimesNewRoman"/>
                <w:rFonts w:ascii="David" w:hAnsi="David"/>
                <w:rtl w:val="true"/>
              </w:rPr>
              <w:t xml:space="preserve"> </w:t>
            </w:r>
          </w:p>
          <w:p>
            <w:pPr>
              <w:pStyle w:val="Normal"/>
              <w:spacing w:lineRule="auto" w:line="276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276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</w:p>
          <w:p>
            <w:pPr>
              <w:pStyle w:val="Normal"/>
              <w:spacing w:lineRule="auto" w:line="276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  <w:p>
            <w:pPr>
              <w:pStyle w:val="Normal"/>
              <w:spacing w:lineRule="auto" w:line="276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276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276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276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אביאל גברילוב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spacing w:lineRule="auto" w:line="276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אביאל גולדשטיין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 באיזוק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spacing w:lineRule="auto" w:line="276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3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דוד תייר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 באיזוק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spacing w:lineRule="auto" w:line="480" w:before="240" w:after="240"/>
              <w:ind w:end="0"/>
              <w:jc w:val="both"/>
              <w:rPr>
                <w:rFonts w:ascii="David" w:hAnsi="David" w:cs="David"/>
                <w:sz w:val="6"/>
                <w:szCs w:val="6"/>
              </w:rPr>
            </w:pPr>
            <w:r>
              <w:rPr>
                <w:rFonts w:cs="David" w:ascii="David" w:hAnsi="David"/>
                <w:sz w:val="6"/>
                <w:szCs w:val="6"/>
                <w:rtl w:val="true"/>
              </w:rPr>
              <w:t>&lt;</w:t>
            </w:r>
            <w:r>
              <w:rPr>
                <w:rFonts w:cs="David" w:ascii="David" w:hAnsi="David"/>
                <w:sz w:val="6"/>
                <w:szCs w:val="6"/>
              </w:rPr>
              <w:t>#1#</w:t>
            </w:r>
            <w:r>
              <w:rPr>
                <w:rFonts w:cs="David" w:ascii="David" w:hAnsi="David"/>
                <w:sz w:val="6"/>
                <w:szCs w:val="6"/>
                <w:rtl w:val="true"/>
              </w:rPr>
              <w:t>&gt;</w:t>
            </w:r>
          </w:p>
        </w:tc>
        <w:tc>
          <w:tcPr>
            <w:tcW w:w="128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6"/>
                <w:szCs w:val="6"/>
              </w:rPr>
            </w:pPr>
            <w:r>
              <w:rPr>
                <w:rFonts w:cs="David" w:ascii="David" w:hAnsi="David"/>
                <w:sz w:val="6"/>
                <w:szCs w:val="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25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ו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4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u w:val="none"/>
          </w:rPr>
          <w:t>144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ו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u w:val="none"/>
          </w:rPr>
          <w:t>334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u w:val="none"/>
          </w:rPr>
          <w:t>335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before="240" w:after="240"/>
        <w:ind w:end="0"/>
        <w:jc w:val="center"/>
        <w:rPr>
          <w:rFonts w:ascii="David" w:hAnsi="David" w:cs="David"/>
          <w:b/>
          <w:bCs/>
          <w:sz w:val="32"/>
          <w:szCs w:val="32"/>
        </w:rPr>
      </w:pPr>
      <w:bookmarkStart w:id="6" w:name="PsakDin"/>
      <w:bookmarkEnd w:id="6"/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גזר דין</w:t>
      </w:r>
    </w:p>
    <w:p>
      <w:pPr>
        <w:pStyle w:val="Normal"/>
        <w:spacing w:before="240" w:after="240"/>
        <w:ind w:end="0"/>
        <w:jc w:val="center"/>
        <w:rPr>
          <w:rFonts w:ascii="David" w:hAnsi="David" w:cs="David"/>
          <w:b/>
          <w:bCs/>
          <w:sz w:val="32"/>
          <w:szCs w:val="32"/>
        </w:rPr>
      </w:pPr>
      <w:r>
        <w:rPr>
          <w:rFonts w:cs="David" w:ascii="David" w:hAnsi="David"/>
          <w:b/>
          <w:bCs/>
          <w:sz w:val="32"/>
          <w:szCs w:val="3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bookmarkStart w:id="9" w:name="ABSTRACT_START"/>
      <w:bookmarkEnd w:id="9"/>
      <w:r>
        <w:rPr>
          <w:rFonts w:ascii="Arial" w:hAnsi="Arial" w:cs="Arial"/>
          <w:rtl w:val="true"/>
        </w:rPr>
        <w:t>תיק זה נסב על אודות אירוע 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הרה אסון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שכל כולו יונק ממניע לאומני גזעני כלפי מי שאמור היה להיפגע מהמעשה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הנאשמים הודו בעובדות כתב האישום המתוקן בשנית והורשעו בעבירות שעניינן </w:t>
      </w:r>
      <w:r>
        <w:rPr>
          <w:rFonts w:ascii="Arial" w:hAnsi="Arial" w:cs="Arial"/>
          <w:b/>
          <w:b/>
          <w:bCs/>
          <w:rtl w:val="true"/>
        </w:rPr>
        <w:t>ניסיון לפציעה בנסיבות מחמירות ממניע גזעני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לפי </w:t>
      </w:r>
      <w:hyperlink r:id="rId12">
        <w:r>
          <w:rPr>
            <w:rStyle w:val="Hyperlink"/>
            <w:rFonts w:ascii="Arial" w:hAnsi="Arial" w:cs="Arial"/>
            <w:color w:val="0000FF"/>
            <w:rtl w:val="true"/>
          </w:rPr>
          <w:t>סעיפים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334</w:t>
        </w:r>
      </w:hyperlink>
      <w:r>
        <w:rPr>
          <w:rFonts w:cs="Arial" w:ascii="Arial" w:hAnsi="Arial"/>
          <w:rtl w:val="true"/>
        </w:rPr>
        <w:t xml:space="preserve"> + </w:t>
      </w:r>
      <w:hyperlink r:id="rId13">
        <w:r>
          <w:rPr>
            <w:rStyle w:val="Hyperlink"/>
            <w:rFonts w:cs="Arial" w:ascii="Arial" w:hAnsi="Arial"/>
            <w:color w:val="0000FF"/>
          </w:rPr>
          <w:t>335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</w:rPr>
          <w:t>1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+</w:t>
      </w:r>
      <w:hyperlink r:id="rId14">
        <w:r>
          <w:rPr>
            <w:rStyle w:val="Hyperlink"/>
            <w:rFonts w:cs="Arial" w:ascii="Arial" w:hAnsi="Arial"/>
            <w:color w:val="0000FF"/>
          </w:rPr>
          <w:t>25</w:t>
        </w:r>
      </w:hyperlink>
      <w:r>
        <w:rPr>
          <w:rFonts w:cs="Arial" w:ascii="Arial" w:hAnsi="Arial"/>
          <w:rtl w:val="true"/>
        </w:rPr>
        <w:t xml:space="preserve"> + </w:t>
      </w:r>
      <w:hyperlink r:id="rId15">
        <w:r>
          <w:rPr>
            <w:rStyle w:val="Hyperlink"/>
            <w:rFonts w:cs="Arial" w:ascii="Arial" w:hAnsi="Arial"/>
            <w:color w:val="0000FF"/>
          </w:rPr>
          <w:t>29</w:t>
        </w:r>
      </w:hyperlink>
      <w:r>
        <w:rPr>
          <w:rFonts w:cs="Arial" w:ascii="Arial" w:hAnsi="Arial"/>
          <w:rtl w:val="true"/>
        </w:rPr>
        <w:t xml:space="preserve"> + </w:t>
      </w:r>
      <w:hyperlink r:id="rId16"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ascii="Arial" w:hAnsi="Arial" w:cs="Arial"/>
            <w:color w:val="0000FF"/>
            <w:rtl w:val="true"/>
          </w:rPr>
          <w:t>ו</w:t>
        </w:r>
      </w:hyperlink>
      <w:r>
        <w:rPr>
          <w:rFonts w:ascii="Arial" w:hAnsi="Arial" w:cs="Arial"/>
          <w:rtl w:val="true"/>
        </w:rPr>
        <w:t xml:space="preserve"> ל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 xml:space="preserve">עבירות בנשק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ייצור והחזקה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</w:t>
      </w:r>
      <w:hyperlink r:id="rId18">
        <w:r>
          <w:rPr>
            <w:rStyle w:val="Hyperlink"/>
            <w:rFonts w:ascii="Arial" w:hAnsi="Arial" w:cs="Arial"/>
            <w:color w:val="0000FF"/>
            <w:rtl w:val="true"/>
          </w:rPr>
          <w:t>סעיפים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</w:rPr>
          <w:t>2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+ </w:t>
      </w:r>
      <w:hyperlink r:id="rId19">
        <w:r>
          <w:rPr>
            <w:rStyle w:val="Hyperlink"/>
            <w:rFonts w:cs="Arial" w:ascii="Arial" w:hAnsi="Arial"/>
            <w:color w:val="0000FF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ושלוש </w:t>
      </w:r>
      <w:r>
        <w:rPr>
          <w:rFonts w:ascii="Arial" w:hAnsi="Arial" w:cs="Arial"/>
          <w:b/>
          <w:b/>
          <w:bCs/>
          <w:rtl w:val="true"/>
        </w:rPr>
        <w:t xml:space="preserve">עבירות בנשק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נשיאה והובלה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</w:t>
      </w:r>
      <w:hyperlink r:id="rId20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</w:rPr>
          <w:t>4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+ </w:t>
      </w:r>
      <w:hyperlink r:id="rId21">
        <w:r>
          <w:rPr>
            <w:rStyle w:val="Hyperlink"/>
            <w:rFonts w:cs="Arial" w:ascii="Arial" w:hAnsi="Arial"/>
            <w:color w:val="0000FF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האירוע המתואר בכתב האישום המתוקן התרחש בשנת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רקע מספר אירועי אלימות והפרות סדר שהתרחשו בחוף הים שבגבעת אולגה ויצרו מתיחות וחיכוכים בין יהודים לערבים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רקע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המתגוררים בסמוך תכננו להשליך בקבוקי תבערה לעבר אזרחים ערבים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מזדמנים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ששהו בחוף אולגה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בליל ה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11.06.2022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נפגשו הנאשמים וייצרו שלושה בקבוקי תבערה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אחר כך עטו בגדים עם שרוולים ארוכים כובעי קפוצ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ון על ראשם וכפפות והחלו לצעוד לכיוון חוף אולגה כשהם נושאים עמם את בקבוקי התבערה בתוך שקית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מעט אחר חצות הלילה בתאריך </w:t>
      </w:r>
      <w:r>
        <w:rPr>
          <w:rFonts w:cs="Arial" w:ascii="Arial" w:hAnsi="Arial"/>
        </w:rPr>
        <w:t>12.06.2022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הגיעו הנאשמים לחוף וזיהו את המתלונן ובת זוגו יושבים על מדרגות בטון בטיילת ומסתכלים אל הים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הנאשמים התקרבו אליהם מאחור ושאלו בערבית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מה השעה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זאת במטרה לוודא שהמתלונן אכן ערבי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המתלונן הפנה את ראשו לכיוון הנאשמים והשיב בערבית כי השעה </w:t>
      </w:r>
      <w:r>
        <w:rPr>
          <w:rFonts w:cs="Arial" w:ascii="Arial" w:hAnsi="Arial"/>
        </w:rPr>
        <w:t>00:45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שהמתלונן הסב חזרה את פניו לכיוון הים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יידו הנאשמים בקבוק תבערה בוער לכיוון המתלונן ובת זוגו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בקבוק התבערה לא התנפץ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המתלונן ובת זוגו קמו ממקומם כדי להימלט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והנאשמים ידו בקבוק תבערה </w:t>
      </w:r>
      <w:r>
        <w:rPr>
          <w:rFonts w:ascii="Arial" w:hAnsi="Arial" w:cs="Arial"/>
          <w:u w:val="single"/>
          <w:rtl w:val="true"/>
        </w:rPr>
        <w:t>נוסף</w:t>
      </w:r>
      <w:r>
        <w:rPr>
          <w:rFonts w:ascii="Arial" w:hAnsi="Arial" w:cs="Arial"/>
          <w:rtl w:val="true"/>
        </w:rPr>
        <w:t xml:space="preserve"> לעבר המתלונן שהצליח לזוז ולהימנע מפגיעה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המתלונן ובת זוגו נמלטו מפני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אחד לכיוון 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הנאשמים רדפו אחר המתלונן כשנאשם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מחזיק בידו בקבוק תבערה דולק 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הנאשמים חדלו מהמרדף רק כדי לכבות את האש שעברה מבקבוק התבערה ואחזה בבגדיו של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המתלונן הצליח להגיע לרכבו שבחניון ולהימלט מהמקום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בטיעוניה לעונש הדגישה המאשימה את הערכים החברתיים שנפגעו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חומרת המעשים שלהם מניע גזעני וניסיון לעשיית דין עצמית על רקע חיכוכים שארעו בין יהודים לערבים בחוף אולגה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הנאשמים חברו יחד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תכננו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ייצורו בקבוקי תבערה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איתורו קורבן ערבי מזדמן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יידו בקבוקי תבערה לעברו והמשיכו ורדפו אחריו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הדגישה שהנאשמים פעלו בצוותא בשיתוף פעולה מלא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ואת פוטנציאל הנזק המשמעותי הטמון במעשיהם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הפנתה לפסיקה שהכירה בבקבוקי תבערה כנשק לכל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הסכנות שבשימוש בהם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בייחוד על רקע אידיאולוגי לאומני ועל הצורך להעביר מסר מרתיע בשל זמינותם ופשטות הכנתם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התייחסה להנחיית פרקליט המדינה בעניין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ולעונש המזערי שנקבע כהוראת שעה בתיקון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החל בעניינינו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ועומד במקרה זה על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המאשימה עתרה לקביעת מתחם של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טענה המאשימה כי המציאות השוררת בארץ  והצורך בדו קיום בבטחון לכל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מחייבים להחמיר ולהעלות את רף הענישה בגין עבירות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כשהענישה תעביר מסר מרתיע לכל מי שלוקח את החוק לידיו ולאלה הבוחרים לפגוע באחרים אך ורק בשל היותם שונים בלאום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גזע או מין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בשים לב לתסקירי שירות המבחן בעניינם של הנאשמים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לעברו הפלילי של 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ולעובדה שריצה בעבר עונש מאסר משמעותי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המאשימה סברה כי יש למקם את עונשם של הנאשמים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בתוך מחצית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ואילו את עונשו של 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עברו המכביד באמצע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טען כי מתחמי הענישה שגובשו בפסיקה שונים דרמטית מהמתחם לו עתרה המאשימה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כי עבירות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עליהן נכתב שהפכו מכת 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 בהנחיית פרקליט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כוללות אך עבירות נשק חם המתרחשות במסגרת אירועי אלימות פליליים ולא בעבירות ביטחוניו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כי לנאשמים לא יוחסה עבירה של קשירת קשר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וניתן ללמוד מכך שהתכנון המוקדם היה קצר ומתגלגל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הסניגור הפנה לסעיף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בכתב האישום בו פורט על החיכוכים בין יהודים לערבים בחוף אולגה בזמן שקדם לאירוע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והטעים כי מעשי הנאשמים לא באו בחלל ריק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ציין כי לא ידוע להגנה על כתב אישום אחר שהוגש בהתייחס לאירועים אחרים על רקע דומה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בחוף אולגה באותה התקופה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הפנה לכך שלמתלונן לא נגרם נזק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לכך שכתב האישום תוקן באופן משמעותי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שמיעת הראיות ומשכך ולא היה ניהול סרק של ההליך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לאור כל האמור עתר הסניגור לקביעת מתחם שנע מ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הסניגור התייחס לנסיבות חייו הקשות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בהן גדל ללא סביבה משפחתית תומכת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הפנה לכך שחרף ניסיונות מרובים לא עלה בידו להציג חלופת 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ולכן נאלץ להישאר במעצר ממשי קרוב לשנתיים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 הנאשמים האחרים הועברו לאיזוק אלקטרוני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ביקש להסתפק בימי מעצרו הממושכים או להטיל עליו עונש של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לבסוף טען כי לא הובאה עמדת נפגע עבירה וביקש ללמוד מכך שהמתלונן לא מעוניין למצות את הדין עם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כן למתלונן לא נגרם נזק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ולכן עתר שלא יוטל פיצוי לטובתו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טען כי ניהול ההוכחות היה תכליתי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ובסופו של דבר הצדדים הגיעו להסדר טיעון שמשקף נכונה את שארע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הדגיש כי לא היה מניע של טרור ולא תכנון מוקדם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אם אירוע ספונטני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נקודתי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החיכוכים בין יהודים לערבים בחוף אולגה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מדובר במצב ביטחוני רגיש הנותן נופך מחמיר לאירוע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כמו למשל בתיקים שעוסקים בעבירות שבוצעו במהלך תקופת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שומר חומות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 xml:space="preserve">הסניגור ביקר את תסקיר שירות המבחן וציין כי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השתחרר לחלופת מעצר בשל העובדה שלקח אחריות מלאה על מעשיו ושיתף פעולה עם שירות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הדגיש כי מרשו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הצעיר שבנאשמים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גדל במציאות מורכבת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ביצע את העבירה עת היה בן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ושיתף פעולה באופן מלא בחקירות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שהה במעצר ממש שלושה עשר 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שבעה חודשים באיזוק אלקטרוני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לדידו האירועים בכתב האישום היו בבחינת קריאת מצוקה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הציע להסתפק בתקופת מעצרו של הנאשם או לכל היותר להוסיף תקופת מאסר שתבוצע בעבודות שירות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התייחס גם הוא לניהול התיק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היה לשווא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והוביל לתיקון משמעותי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וטען כי חומרתו היתרה של כתב האישום המקורי היא שהובילה להימשכות הליכים והעדת עדים שניתן היה לחסוך לו כתב האישום הוגש מלכתחילה כפי נוסחו הנוכחי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הסניגור התייחס לתכנון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וטען כי מדובר היה בתכנון סמוך לביצוע העבירה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תכנון ספונטני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אומנם בעל משמעות משפטית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בשפת הרחוב מדובר בהחלטה ספונטנית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ולא תכנון מתוחכם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כפי שהודה 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ועל זה לקח אחריות מלאה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בניגוד להתרשמות שירות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טען כי חלפו שנתיים מהעבירות והנאשמים חשים יום יום את הטעות שעשו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הסניגור סיפר על נסיבות חייו של 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מגיל צעיר מאוד גדל ללא תמיכה הורית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שריצה מאסר בגין מעורבותו באירוע שבעטיו הורשע בעבירת הריגה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עבד ארבע שנים במקום קבוע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מכתב המלצה ממעסיקו בעיריית חדרה הוגש וסומן במ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ביקש לא לייחס משקל רב לעברו הפלילי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הסניגור טען כי העלאת רף הענישה בעבירות נשק באה לידי ביטוי בתיקי פשיעה בעבירות נשק או בתקופות של מתיחות בטחונית שנעשה בהן שימוש בנשקים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לכן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בקבוקי תבערה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חרף זמינותם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דומים ולא נמצאים בהלימה להחמרה שהתבקשה על ידי המאשימה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עוד נטען כי 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ערך שינוי משמעותי מאז שוחרר לחלופת 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הליך טיפולי ומשתתף בקבוצות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 להתגורר בבית משפחתה של אשתו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התחתן ומצפה לילד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תסקיר שירות המבחן בעניינו חיובי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נטען כי פוטנציאל שיקומי עליו הוצבע בתסקיר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בו כדי להצדיק חריגה ממתחם הענישה ולכל הפחות לבסס הקלה משמעותית בענישה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הסניגור הפנה לפסיקה וטען כי היא מבססת עונש קל משמעותית מזה לו טוענת המאשימה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הצטרף למתחם העניש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 שהציע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שעומד על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ביקש להתחשב בתקופת המעצר הממשית בתיק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במהלכה הנאשמים סווגו כאסירים ביטחוניים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שתנאיהם היו קשים 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ביקש לאמץ את המלצת שירות המבחן ולהטיל מאסר בעבודות שירות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באשר להוראת השעה בדבר עונש מזערי לעבירות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כי המחוקק לא קבע זאת כחובה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שאין ניתן לסטות ממנה וזאת מטעמים מיוחדים שלדידו מתקיימים כאן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ויתר על דברו האחרון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הביע חרטה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כי כשראה את המתלוננים בבית המשפט הבין כי למעשיו יש משמעות ובכוחם לשנות חיים של אנשים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שלא נפגעו פיזית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הבין כי המתלוננים נפגעו נפשית באופן משמעותי וייקח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 את מעשיו איתם לכל החיים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הביע חרטה וסיפר על התסכול שחווה משירות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שמר עימו על קשר טיפול רציף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סיפר על הקשיים שחווה בחייו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הטעות שעשה בעבר שהובילה לגדיעת חיים עליה חושב בכל יום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מאז ניסה להשתקם והתחיל לעבוד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טעה כעת פעם נוספת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טעות חמורה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מאז העבירה הבין שהוא רוצה לעשות עם עצמו משהו בחיים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התחתן ומצפה לילד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ורוצה לתת למשפחתו ולילדיו את מה שנמנע ממנו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חרף הקשיים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הביע צער וציין כי הוא לוקח אחריות על מעשיו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הנאשמים חברו יחד לפעולה אלימה וביריונית שכללה ייצור ושימוש בבקבוקי תבערה שפגיעתם קשה ומסוכנת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והוגדרו בפסיקה כנשק לכל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כלפי קורבן תמים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חטאו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התמצא בהיותו ערבי ששהה בחוף הים של אולגה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במעשיהם סיכנו חיי אדם ופגעו בתחושת הביטחון של הציבור והכל ממניע גזעני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שלא נגרם נזק פיזי ממעשיהם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שום פוטנציאל הנזק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הפגיעה בערכים כאן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ברף גבוה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בבחינת נסיבות ביצוע העבירה נתתי דעתי לביצוע בחבורה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לתכנון המוקדם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כפי שמופיע במפורש בסעיף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בכתב האישום המתוקן בו הנאשמים הודו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להכנות שכללו לכל הפחות פגישה והכנת שלושה בקבוקי תבערה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לבישת בגדים ארוכים וכפפות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צעידה משותפת עם בקבוקי תבערה לעבר חוף אולגה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וידוא שהקורבן המזדמן הוא אכן ערבי ובלא שום התגרות מצדו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לעובדה שיידוי בקבוק התבערה הראשון נעשה בשעת לילה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כשהמתלוננים יושבים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עם גבם לנאשמים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 שהוסיף לאלמנט ההפתעה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הגדיל את סיכויי הפגיעה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והקטין את יכולתם להתגונן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ליידוי בקבוק התבערה השני לעבר המתלונן ולמרדף אחריו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שלושה בעקבות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כשבידם בקבוק תבערה 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דולק ומוכן להשלכה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לעובדה שאף לא אחד מהנאשמים מצא לחדול בשום שלב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ביוזמתו אלא רק כאשר האש אחזה בבגדיו של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אומנם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למרבה המזל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בסופו של דבר מעשי הנאשמים לא גרמו לנזק פיזי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אולם גם לפוטנציאל הנזק הגלום בבקבוקי התבערה והשלכתם במכוון לעבר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מטווח קרוב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אילו היו מתנפצים או אפילו פוגעים במתלונן יש לתת משקל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וכאמור המניע הגזעני שהוא כשלעצמו נסיבה לחומרה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הוראת המחוקק והפסיקה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הנאשמים ביקשו לראות ברקע של החיכוכים בין יהודים לערבים בחוף אולגה בחודשים שקדמו למעשי הנאשמים משום נסיבה מקלה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מצאתי לקבל טיעון זה בנסיבות המקרה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הנאשמים הגיעו לחוף עם בקבוקי תבערה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נשק מאולתר שמשמש להתקפה והצתת אש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מצאו קורבן תמים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ערבי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ותקפו בלי כל התגרות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בפעולה בריונית גרידא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שמהווה נטילת החוק לידיים וניסיון לייצר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הרתעה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כללית כלפי מי שאין לו כל קשר ידוע למתיחות שהייתה במקום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להשלים עם מעשים פוגעניים כאלה הגורמים לערעור הסדר הציבורי בכללותו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ופוגעים במרקם החיים המשותפים בין יהודים לערבים במדינה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מעשים כאלה מייצרים הסלמה כוללת שסופה אינו תמיד יכול להחזות מראש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שטענו הסנגורים כי אמנם האירוע לא התרחש על רקע מתיחות ביטחונית בארץ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אילו הייתה מתיחות כזו היה בה להוסיף פן מחמיר 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קיים במקרה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בחינת הפסיקה הנוהגת מעלה כי בתי המשפט מייחסים חומרה רבה לעבירות נשק גם כשמדובר בנשק מאולתר כבקבוקי תבעירה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ומוטלים בעטיין עונשי מאסר משמעותיים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וכבר נפסק שהשימוש בבקבוקי תבעירה שקול לשימוש בנשק 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קל וחומר כשהרקע למעשה הוא לאומני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כך נכתב למשל ב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2206/16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נבו</w:t>
      </w:r>
      <w:r>
        <w:rPr>
          <w:rFonts w:cs="Times New Roman"/>
          <w:rtl w:val="true"/>
        </w:rPr>
        <w:t xml:space="preserve"> </w:t>
      </w:r>
      <w:r>
        <w:rPr/>
        <w:t>03.11.2016</w:t>
      </w:r>
      <w:r>
        <w:rPr>
          <w:rtl w:val="true"/>
        </w:rPr>
        <w:t>)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Quote"/>
        <w:ind w:end="1418"/>
        <w:jc w:val="both"/>
        <w:rPr/>
      </w:pPr>
      <w:r>
        <w:rPr>
          <w:rtl w:val="true"/>
        </w:rPr>
        <w:tab/>
      </w:r>
      <w:r>
        <w:rPr>
          <w:rtl w:val="true"/>
        </w:rPr>
        <w:t>"..</w:t>
      </w:r>
      <w:r>
        <w:rPr>
          <w:rtl w:val="true"/>
        </w:rPr>
        <w:t>.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, </w:t>
      </w:r>
      <w:r>
        <w:rPr>
          <w:rtl w:val="true"/>
        </w:rPr>
        <w:t>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751/16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,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(</w:t>
      </w:r>
      <w:r>
        <w:rPr/>
        <w:t>21.4.2016</w:t>
      </w:r>
      <w:r>
        <w:rPr>
          <w:rtl w:val="true"/>
        </w:rPr>
        <w:t xml:space="preserve">);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3702/14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,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(</w:t>
      </w:r>
      <w:r>
        <w:rPr/>
        <w:t>28.9.2014</w:t>
      </w:r>
      <w:r>
        <w:rPr>
          <w:rtl w:val="true"/>
        </w:rPr>
        <w:t xml:space="preserve">)).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שטות</w:t>
      </w:r>
      <w:r>
        <w:rPr>
          <w:rtl w:val="true"/>
        </w:rPr>
        <w:t xml:space="preserve">" </w:t>
      </w:r>
      <w:r>
        <w:rPr>
          <w:rtl w:val="true"/>
        </w:rPr>
        <w:t>גרידא</w:t>
      </w:r>
      <w:r>
        <w:rPr>
          <w:rtl w:val="true"/>
        </w:rPr>
        <w:t xml:space="preserve">; </w:t>
      </w:r>
      <w:r>
        <w:rPr>
          <w:rtl w:val="true"/>
        </w:rPr>
        <w:t>להשלכת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אסון</w:t>
      </w:r>
      <w:r>
        <w:rPr>
          <w:rtl w:val="true"/>
        </w:rPr>
        <w:t xml:space="preserve">, </w:t>
      </w:r>
      <w:r>
        <w:rPr>
          <w:rtl w:val="true"/>
        </w:rPr>
        <w:t>ונפסק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5371/14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,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(</w:t>
      </w:r>
      <w:r>
        <w:rPr/>
        <w:t>16.9.2014</w:t>
      </w:r>
      <w:r>
        <w:rPr>
          <w:rtl w:val="true"/>
        </w:rPr>
        <w:t>)).</w:t>
      </w:r>
      <w:r>
        <w:rPr>
          <w:rtl w:val="true"/>
        </w:rPr>
        <w:t xml:space="preserve">"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2337/13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קואסמה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נבו</w:t>
      </w:r>
      <w:r>
        <w:rPr>
          <w:rFonts w:cs="Times New Roman"/>
          <w:rtl w:val="true"/>
        </w:rPr>
        <w:t xml:space="preserve"> </w:t>
      </w:r>
      <w:r>
        <w:rPr/>
        <w:t>16.09.2013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יהודיים</w:t>
      </w:r>
      <w:r>
        <w:rPr>
          <w:rtl w:val="true"/>
        </w:rPr>
        <w:t xml:space="preserve">,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אבטחה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היהודיות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למסייע</w:t>
      </w:r>
      <w:r>
        <w:rPr>
          <w:rtl w:val="true"/>
        </w:rPr>
        <w:t xml:space="preserve">,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,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בעונשים</w:t>
      </w:r>
      <w:r>
        <w:rPr>
          <w:rtl w:val="true"/>
        </w:rPr>
        <w:t xml:space="preserve">; </w:t>
      </w:r>
      <w:r>
        <w:rPr>
          <w:rtl w:val="true"/>
        </w:rPr>
        <w:t>ול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5873/09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ביומי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נבו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/>
        <w:t>.</w:t>
      </w:r>
      <w:r>
        <w:rPr/>
        <w:t>12</w:t>
      </w:r>
      <w:r>
        <w:rPr/>
        <w:t>.20</w:t>
      </w:r>
      <w:r>
        <w:rPr/>
        <w:t>10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ישיבה</w:t>
      </w:r>
      <w:r>
        <w:rPr>
          <w:rtl w:val="true"/>
        </w:rPr>
        <w:t xml:space="preserve">,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ועונש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שצורפו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 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50321-03-16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מואסי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נבו</w:t>
      </w:r>
      <w:r>
        <w:rPr>
          <w:rFonts w:cs="Times New Roman"/>
          <w:rtl w:val="true"/>
        </w:rPr>
        <w:t xml:space="preserve"> </w:t>
      </w:r>
      <w:r>
        <w:rPr/>
        <w:t>07.12.2016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, </w:t>
      </w:r>
      <w:r>
        <w:rPr>
          <w:rtl w:val="true"/>
        </w:rPr>
        <w:t>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; 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3511/17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נבו</w:t>
      </w:r>
      <w:r>
        <w:rPr>
          <w:rFonts w:cs="Times New Roman"/>
          <w:rtl w:val="true"/>
        </w:rPr>
        <w:t xml:space="preserve"> </w:t>
      </w:r>
      <w:r>
        <w:rPr/>
        <w:t>17.09.2017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תבעירה</w:t>
      </w:r>
      <w:r>
        <w:rPr>
          <w:rtl w:val="true"/>
        </w:rPr>
        <w:t xml:space="preserve">, </w:t>
      </w:r>
      <w:r>
        <w:rPr>
          <w:rtl w:val="true"/>
        </w:rPr>
        <w:t>התגנבו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hyperlink r:id="rId3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>)</w:t>
          <w:br/>
          <w:t xml:space="preserve"> </w:t>
        </w:r>
        <w:r>
          <w:rPr>
            <w:rStyle w:val="Hyperlink"/>
            <w:color w:val="0000FF"/>
            <w:u w:val="single"/>
          </w:rPr>
          <w:t>66152-06-20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זחאיקה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נבו</w:t>
      </w:r>
      <w:r>
        <w:rPr>
          <w:rFonts w:cs="Times New Roman"/>
          <w:rtl w:val="true"/>
        </w:rPr>
        <w:t xml:space="preserve"> </w:t>
      </w:r>
      <w:r>
        <w:rPr/>
        <w:t>07.03.2021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זחאיקה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תבעירה</w:t>
      </w:r>
      <w:r>
        <w:rPr>
          <w:rtl w:val="true"/>
        </w:rPr>
        <w:t xml:space="preserve">, </w:t>
      </w:r>
      <w:r>
        <w:rPr>
          <w:rtl w:val="true"/>
        </w:rPr>
        <w:t>יירה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hyperlink r:id="rId3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40118-06-21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ראזם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נבו</w:t>
      </w:r>
      <w:r>
        <w:rPr>
          <w:rFonts w:cs="Times New Roman"/>
          <w:rtl w:val="true"/>
        </w:rPr>
        <w:t xml:space="preserve"> </w:t>
      </w:r>
      <w:r>
        <w:rPr/>
        <w:t>05.01.2022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חומות</w:t>
      </w:r>
      <w:r>
        <w:rPr>
          <w:rtl w:val="true"/>
        </w:rPr>
        <w:t xml:space="preserve">"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'.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נבו</w:t>
      </w:r>
      <w:r>
        <w:rPr>
          <w:rFonts w:cs="Times New Roman"/>
          <w:rtl w:val="true"/>
        </w:rPr>
        <w:t xml:space="preserve"> </w:t>
      </w:r>
      <w:r>
        <w:rPr/>
        <w:t>29.05.2022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חומות</w:t>
      </w:r>
      <w:r>
        <w:rPr>
          <w:rtl w:val="true"/>
        </w:rPr>
        <w:t xml:space="preserve">"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בהתפרעויות</w:t>
      </w:r>
      <w:r>
        <w:rPr>
          <w:rtl w:val="true"/>
        </w:rPr>
        <w:t xml:space="preserve">, </w:t>
      </w:r>
      <w:r>
        <w:rPr>
          <w:rtl w:val="true"/>
        </w:rPr>
        <w:t>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tl w:val="true"/>
        </w:rPr>
        <w:t xml:space="preserve">, </w:t>
      </w:r>
      <w:r>
        <w:rPr>
          <w:rtl w:val="true"/>
        </w:rPr>
        <w:t>פלטת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עץ</w:t>
      </w:r>
      <w:r>
        <w:rPr>
          <w:rtl w:val="true"/>
        </w:rPr>
        <w:t xml:space="preserve">, </w:t>
      </w:r>
      <w:r>
        <w:rPr>
          <w:rtl w:val="true"/>
        </w:rPr>
        <w:t>וצמחיה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. </w:t>
      </w:r>
      <w:r>
        <w:rPr>
          <w:rtl w:val="true"/>
        </w:rPr>
        <w:t>בהתפרעות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;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נבו</w:t>
      </w:r>
      <w:r>
        <w:rPr>
          <w:rFonts w:cs="Times New Roman"/>
          <w:rtl w:val="true"/>
        </w:rPr>
        <w:t xml:space="preserve"> </w:t>
      </w:r>
      <w:r>
        <w:rPr/>
        <w:t>27.07.2022</w:t>
      </w:r>
      <w:r>
        <w:rPr>
          <w:rtl w:val="true"/>
        </w:rPr>
        <w:t xml:space="preserve">)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חומות</w:t>
      </w:r>
      <w:r>
        <w:rPr>
          <w:rtl w:val="true"/>
        </w:rPr>
        <w:t xml:space="preserve">" </w:t>
      </w:r>
      <w:r>
        <w:rPr>
          <w:rtl w:val="true"/>
        </w:rPr>
        <w:t>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תבעירה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Quote"/>
        <w:ind w:end="1418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"...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בקת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.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האידיאולוגי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ואווירת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שמבצעיהן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מפלילים</w:t>
      </w:r>
      <w:r>
        <w:rPr>
          <w:rtl w:val="true"/>
        </w:rPr>
        <w:t xml:space="preserve">.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והבקת</w:t>
      </w:r>
      <w:r>
        <w:rPr>
          <w:rtl w:val="true"/>
        </w:rPr>
        <w:t>"</w:t>
      </w:r>
      <w:r>
        <w:rPr>
          <w:rtl w:val="true"/>
        </w:rPr>
        <w:t>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מרחובותינו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...".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1163/07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דיר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נבו</w:t>
      </w:r>
      <w:r>
        <w:rPr>
          <w:rFonts w:cs="Times New Roman"/>
          <w:rtl w:val="true"/>
        </w:rPr>
        <w:t xml:space="preserve"> </w:t>
      </w:r>
      <w:r>
        <w:rPr/>
        <w:t>29.03.2007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מתפללים</w:t>
      </w:r>
      <w:r>
        <w:rPr>
          <w:rtl w:val="true"/>
        </w:rPr>
        <w:t xml:space="preserve">. </w:t>
      </w:r>
      <w:r>
        <w:rPr>
          <w:rtl w:val="true"/>
        </w:rPr>
        <w:t>ובהזדמנות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איתם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שמתחת</w:t>
      </w:r>
      <w:r>
        <w:rPr>
          <w:rtl w:val="true"/>
        </w:rPr>
        <w:t xml:space="preserve">.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והמתפללים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האידיאולוגי</w:t>
      </w:r>
      <w:r>
        <w:rPr>
          <w:rtl w:val="true"/>
        </w:rPr>
        <w:t>-</w:t>
      </w:r>
      <w:r>
        <w:rPr>
          <w:rtl w:val="true"/>
        </w:rPr>
        <w:t>לאומני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הביצוע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וכתב</w:t>
      </w:r>
      <w:r>
        <w:rPr>
          <w:rtl w:val="true"/>
        </w:rPr>
        <w:t xml:space="preserve">: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Quote"/>
        <w:ind w:end="1418"/>
        <w:jc w:val="both"/>
        <w:rPr/>
      </w:pPr>
      <w:r>
        <w:rPr>
          <w:rtl w:val="true"/>
        </w:rPr>
        <w:tab/>
      </w:r>
      <w:r>
        <w:rPr>
          <w:rtl w:val="true"/>
        </w:rPr>
        <w:t>"...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",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שמבוצעים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tl w:val="true"/>
        </w:rPr>
        <w:t>-</w:t>
      </w:r>
      <w:r>
        <w:rPr>
          <w:rtl w:val="true"/>
        </w:rPr>
        <w:t>לאומני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tl w:val="true"/>
        </w:rPr>
        <w:t>...".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2330/19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הינדי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נבו</w:t>
      </w:r>
      <w:r>
        <w:rPr>
          <w:rFonts w:cs="Times New Roman"/>
          <w:rtl w:val="true"/>
        </w:rPr>
        <w:t xml:space="preserve"> </w:t>
      </w:r>
      <w:r>
        <w:rPr/>
        <w:t>16.01.2020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tl w:val="true"/>
        </w:rPr>
        <w:t xml:space="preserve">, </w:t>
      </w:r>
      <w:r>
        <w:rPr>
          <w:rtl w:val="true"/>
        </w:rPr>
        <w:t>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תבעירה</w:t>
      </w:r>
      <w:r>
        <w:rPr>
          <w:rtl w:val="true"/>
        </w:rPr>
        <w:t xml:space="preserve">, </w:t>
      </w:r>
      <w:r>
        <w:rPr>
          <w:rtl w:val="true"/>
        </w:rPr>
        <w:t>והשליכם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הצופים</w:t>
      </w:r>
      <w:r>
        <w:rPr>
          <w:rtl w:val="true"/>
        </w:rPr>
        <w:t xml:space="preserve">.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נחפפו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1925/23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הדוואן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נבו</w:t>
      </w:r>
      <w:r>
        <w:rPr>
          <w:rFonts w:cs="Times New Roman"/>
          <w:rtl w:val="true"/>
        </w:rPr>
        <w:t xml:space="preserve"> </w:t>
      </w:r>
      <w:r>
        <w:rPr/>
        <w:t>07.08.2023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חומות</w:t>
      </w:r>
      <w:r>
        <w:rPr>
          <w:rtl w:val="true"/>
        </w:rPr>
        <w:t xml:space="preserve">" </w:t>
      </w:r>
      <w:r>
        <w:rPr>
          <w:rtl w:val="true"/>
        </w:rPr>
        <w:t>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ליידותם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וכשהבחינו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הערעורים</w:t>
      </w:r>
      <w:r>
        <w:rPr>
          <w:rtl w:val="true"/>
        </w:rPr>
        <w:t xml:space="preserve">.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הדרגתי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ומבוקר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לקריאה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ובייצור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",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</w:t>
      </w:r>
      <w:r>
        <w:rPr>
          <w:rtl w:val="true"/>
        </w:rPr>
        <w:t xml:space="preserve">, </w:t>
      </w:r>
      <w:r>
        <w:rPr>
          <w:rtl w:val="true"/>
        </w:rPr>
        <w:t>וחל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הדרגתית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ראשיתו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שנותנת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לגילם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04.07.2022</w:t>
      </w:r>
      <w:r>
        <w:rPr>
          <w:rtl w:val="true"/>
        </w:rPr>
        <w:t xml:space="preserve">. </w:t>
      </w:r>
      <w:r>
        <w:rPr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והיעדר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הכוונה</w:t>
      </w:r>
      <w:r>
        <w:rPr>
          <w:rtl w:val="true"/>
        </w:rPr>
        <w:t xml:space="preserve">.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.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בתקשורת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.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פשוטות</w:t>
      </w:r>
      <w:r>
        <w:rPr>
          <w:rtl w:val="true"/>
        </w:rPr>
        <w:t xml:space="preserve">, </w:t>
      </w:r>
      <w:r>
        <w:rPr>
          <w:rtl w:val="true"/>
        </w:rPr>
        <w:t>ולאחרונה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tl w:val="true"/>
        </w:rPr>
        <w:t xml:space="preserve">, </w:t>
      </w:r>
      <w:r>
        <w:rPr>
          <w:rtl w:val="true"/>
        </w:rPr>
        <w:t>משפחתה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tl w:val="true"/>
        </w:rPr>
        <w:t xml:space="preserve">.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tl w:val="true"/>
        </w:rPr>
        <w:t xml:space="preserve">.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/>
        <w:t>20</w:t>
      </w:r>
      <w:r>
        <w:rPr>
          <w:rtl w:val="true"/>
        </w:rPr>
        <w:t>.</w:t>
        <w:tab/>
      </w:r>
      <w:r>
        <w:rPr>
          <w:rFonts w:ascii="David" w:hAnsi="David"/>
          <w:rtl w:val="true"/>
        </w:rPr>
        <w:t>בית המשפט העליון קבע לא אחת שבעבירות שבוצעו מתוך מניע גזעני הבכורה ניתנת לשיקולי הגנה על שלום הציבור וביטחונו ולשיקולי הרתעת יחיד ורבים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על פני שיקולי ענישה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בהם שיקום ונסיבות אישיות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ראו עניין </w:t>
      </w:r>
      <w:r>
        <w:rPr>
          <w:rFonts w:ascii="David" w:hAnsi="David"/>
          <w:rtl w:val="true"/>
        </w:rPr>
        <w:t>אבו ח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דיר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; </w:t>
      </w:r>
      <w:hyperlink r:id="rId4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159/22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תאיה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02.03.2022</w:t>
      </w:r>
      <w:r>
        <w:rPr>
          <w:rFonts w:cs="David" w:ascii="David" w:hAnsi="David"/>
          <w:rtl w:val="true"/>
        </w:rPr>
        <w:t>);</w:t>
      </w:r>
      <w:r>
        <w:rPr>
          <w:rtl w:val="true"/>
        </w:rPr>
        <w:t xml:space="preserve"> </w:t>
      </w: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901/22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אסווד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24.02.2022</w:t>
      </w:r>
      <w:r>
        <w:rPr>
          <w:rFonts w:cs="David" w:ascii="David" w:hAnsi="David"/>
          <w:rtl w:val="true"/>
        </w:rPr>
        <w:t>))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בהקשר זה גם התסקיר החיובי בעניינו של הנאשם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המצביע על תחילתו של שיקום אינו מצדיק סטייה מן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 יש לזכור כי הכלל הוא שתסקיר שירות המבחן מהווה המלצה שאינה מחייבת את בית המשפט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בוחן את מסוכנותו של הנאשם ואת הפוטנציאל השיקומי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 מכלול השיקולים של בית המשפט רחב 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לאור זאת  </w:t>
      </w:r>
      <w:r>
        <w:rPr>
          <w:rFonts w:ascii="David" w:hAnsi="David"/>
          <w:rtl w:val="true"/>
        </w:rPr>
        <w:t>לא מצאתי הצדקה לסטות ממתחם העונש ההולם לקולה או 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מצאתי טעמים מיוחדים לסטות מהעונש המזערי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יש לזכור שגם רכיב המאסר המותנה נמנה במסגרת סך העונש המזערי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ראו למשל  </w:t>
      </w:r>
      <w:hyperlink r:id="rId4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8500/22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אביטבול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10.07.2023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ראיתי לגזור עונש שאינו בתחתית המתחם 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שיקולי הרתעת יחיד ורבים מ</w:t>
      </w:r>
      <w:r>
        <w:rPr>
          <w:rFonts w:ascii="David" w:hAnsi="David"/>
          <w:rtl w:val="true"/>
        </w:rPr>
        <w:t>ביצוע מעשים ממניע גזעני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ומשימוש בבקבוקי תבעירה שהם נשק זמין ובעל פוטנציאל הרסני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זאת כאמור בסעיפים </w:t>
      </w:r>
      <w:hyperlink r:id="rId43"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rtl w:val="true"/>
          </w:rPr>
          <w:t>ו</w:t>
        </w:r>
      </w:hyperlink>
      <w:r>
        <w:rPr>
          <w:rFonts w:ascii="David" w:hAnsi="David"/>
          <w:rtl w:val="true"/>
        </w:rPr>
        <w:t xml:space="preserve"> ו</w:t>
      </w:r>
      <w:r>
        <w:rPr>
          <w:rFonts w:cs="David" w:ascii="David" w:hAnsi="David"/>
          <w:rtl w:val="true"/>
        </w:rPr>
        <w:t>-</w:t>
      </w:r>
      <w:hyperlink r:id="rId44">
        <w:r>
          <w:rPr>
            <w:rStyle w:val="Hyperlink"/>
            <w:rFonts w:ascii="David" w:hAnsi="David"/>
            <w:color w:val="0000FF"/>
            <w:rtl w:val="true"/>
          </w:rPr>
          <w:t>ז</w:t>
        </w:r>
      </w:hyperlink>
      <w:r>
        <w:rPr>
          <w:rFonts w:ascii="David" w:hAnsi="David"/>
          <w:rtl w:val="true"/>
        </w:rPr>
        <w:t xml:space="preserve"> ב</w:t>
      </w:r>
      <w:hyperlink r:id="rId4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–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ארבעים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42</w:t>
      </w:r>
      <w:r>
        <w:rPr>
          <w:rtl w:val="true"/>
        </w:rPr>
        <w:t xml:space="preserve">)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/>
        <w:t>04</w:t>
      </w:r>
      <w:r>
        <w:rPr/>
        <w:t>.</w:t>
      </w:r>
      <w:r>
        <w:rPr/>
        <w:t>07</w:t>
      </w:r>
      <w:r>
        <w:rPr/>
        <w:t>.202</w:t>
      </w:r>
      <w:r>
        <w:rPr/>
        <w:t>2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Fonts w:ascii="David" w:hAnsi="David"/>
          <w:rtl w:val="true"/>
        </w:rPr>
        <w:t>לצד עונש זה ובנוסף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אני גוזר לנאשם שנים עשר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חודשי מאסר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 xml:space="preserve">אותם לא ירצה אלא אם בתוך שלוש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שנים מיום שחרורו ממאסר יעבור </w:t>
      </w:r>
      <w:r>
        <w:rPr>
          <w:rFonts w:ascii="David" w:hAnsi="David"/>
          <w:rtl w:val="true"/>
        </w:rPr>
        <w:t>עבירת נשק או עבירת אלימות מסוג פשע</w:t>
      </w:r>
      <w:r>
        <w:rPr>
          <w:rFonts w:ascii="David" w:hAnsi="David"/>
          <w:rtl w:val="true"/>
        </w:rPr>
        <w:t xml:space="preserve"> ויורשע בה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עורר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וחרדה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תיעוד</w:t>
      </w:r>
      <w:r>
        <w:rPr>
          <w:rtl w:val="true"/>
        </w:rPr>
        <w:t xml:space="preserve">,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זעזע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</w:t>
      </w:r>
      <w:r>
        <w:rPr>
          <w:rtl w:val="true"/>
        </w:rPr>
        <w:t>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</w:t>
      </w:r>
      <w:r>
        <w:rPr>
          <w:rtl w:val="true"/>
        </w:rPr>
        <w:t>נ</w:t>
      </w:r>
      <w:r>
        <w:rPr>
          <w:rtl w:val="true"/>
        </w:rPr>
        <w:t>נ</w:t>
      </w:r>
      <w:r>
        <w:rPr>
          <w:rtl w:val="true"/>
        </w:rPr>
        <w:t>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/>
        <w:t>,000</w:t>
      </w:r>
      <w:r>
        <w:rPr>
          <w:rtl w:val="true"/>
        </w:rPr>
        <w:t xml:space="preserve"> ₪</w:t>
      </w:r>
      <w:r>
        <w:rPr>
          <w:rtl w:val="true"/>
        </w:rPr>
        <w:t xml:space="preserve">, </w:t>
      </w:r>
      <w:r>
        <w:rPr>
          <w:rtl w:val="true"/>
        </w:rPr>
        <w:t>שישולמו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 </w:t>
      </w:r>
      <w:r>
        <w:rPr/>
        <w:t>01.0</w:t>
      </w:r>
      <w:r>
        <w:rPr/>
        <w:t>9</w:t>
      </w:r>
      <w:r>
        <w:rPr/>
        <w:t>.2024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/>
        <w:t>,000</w:t>
      </w:r>
      <w:r>
        <w:rPr>
          <w:rtl w:val="true"/>
        </w:rPr>
        <w:t xml:space="preserve"> ₪</w:t>
      </w:r>
      <w:r>
        <w:rPr>
          <w:rtl w:val="true"/>
        </w:rPr>
        <w:t xml:space="preserve">, </w:t>
      </w:r>
      <w:r>
        <w:rPr>
          <w:rtl w:val="true"/>
        </w:rPr>
        <w:t>שישולמו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 </w:t>
      </w:r>
      <w:r>
        <w:rPr/>
        <w:t>01.0</w:t>
      </w:r>
      <w:r>
        <w:rPr/>
        <w:t>9</w:t>
      </w:r>
      <w:r>
        <w:rPr/>
        <w:t>.2024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 w:before="240" w:after="240"/>
        <w:ind w:start="360"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ארבעים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42</w:t>
      </w:r>
      <w:r>
        <w:rPr>
          <w:rtl w:val="true"/>
        </w:rPr>
        <w:t xml:space="preserve">)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04</w:t>
      </w:r>
      <w:r>
        <w:rPr/>
        <w:t>.</w:t>
      </w:r>
      <w:r>
        <w:rPr/>
        <w:t>07</w:t>
      </w:r>
      <w:r>
        <w:rPr/>
        <w:t>.202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20.09.2023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Fonts w:ascii="David" w:hAnsi="David"/>
          <w:rtl w:val="true"/>
        </w:rPr>
        <w:t>לצד עונש זה ובנוסף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אני גוזר לנאשם שנים עשר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חודשי מאסר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 xml:space="preserve">אותם לא ירצה אלא אם בתוך שלוש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שנים מיום שחרורו ממאסר יעבור </w:t>
      </w:r>
      <w:r>
        <w:rPr>
          <w:rFonts w:ascii="David" w:hAnsi="David"/>
          <w:rtl w:val="true"/>
        </w:rPr>
        <w:t>עבירת נשק או עבירת אלימות מסוג פשע</w:t>
      </w:r>
      <w:r>
        <w:rPr>
          <w:rFonts w:ascii="David" w:hAnsi="David"/>
          <w:rtl w:val="true"/>
        </w:rPr>
        <w:t xml:space="preserve"> ויורשע בה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/>
        <w:t>,000</w:t>
      </w:r>
      <w:r>
        <w:rPr>
          <w:rtl w:val="true"/>
        </w:rPr>
        <w:t xml:space="preserve"> ₪</w:t>
      </w:r>
      <w:r>
        <w:rPr>
          <w:rtl w:val="true"/>
        </w:rPr>
        <w:t xml:space="preserve">, </w:t>
      </w:r>
      <w:r>
        <w:rPr>
          <w:rtl w:val="true"/>
        </w:rPr>
        <w:t>שישולמו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 </w:t>
      </w:r>
      <w:r>
        <w:rPr/>
        <w:t>01.0</w:t>
      </w:r>
      <w:r>
        <w:rPr/>
        <w:t>9</w:t>
      </w:r>
      <w:r>
        <w:rPr/>
        <w:t>.2024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/>
        <w:t>,000</w:t>
      </w:r>
      <w:r>
        <w:rPr>
          <w:rtl w:val="true"/>
        </w:rPr>
        <w:t xml:space="preserve"> ₪</w:t>
      </w:r>
      <w:r>
        <w:rPr>
          <w:rtl w:val="true"/>
        </w:rPr>
        <w:t xml:space="preserve">, </w:t>
      </w:r>
      <w:r>
        <w:rPr>
          <w:rtl w:val="true"/>
        </w:rPr>
        <w:t>שישולמו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 </w:t>
      </w:r>
      <w:r>
        <w:rPr/>
        <w:t>01.0</w:t>
      </w:r>
      <w:r>
        <w:rPr/>
        <w:t>9</w:t>
      </w:r>
      <w:r>
        <w:rPr/>
        <w:t>.2024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–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ארבעים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45</w:t>
      </w:r>
      <w:r>
        <w:rPr>
          <w:rtl w:val="true"/>
        </w:rPr>
        <w:t xml:space="preserve">)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07</w:t>
      </w:r>
      <w:r>
        <w:rPr/>
        <w:t>.</w:t>
      </w:r>
      <w:r>
        <w:rPr/>
        <w:t>07</w:t>
      </w:r>
      <w:r>
        <w:rPr/>
        <w:t>.202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27.07.2023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מהאחרים</w:t>
      </w:r>
      <w:r>
        <w:rPr>
          <w:rtl w:val="true"/>
        </w:rPr>
        <w:t xml:space="preserve">,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Fonts w:ascii="David" w:hAnsi="David"/>
          <w:rtl w:val="true"/>
        </w:rPr>
        <w:t>לצד עונש זה ובנוסף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אני גוזר לנאשם שנים עשר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חודשי מאסר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 xml:space="preserve">אותם לא ירצה אלא אם בתוך שלוש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שנים מיום שחרורו ממאסר יעבור </w:t>
      </w:r>
      <w:r>
        <w:rPr>
          <w:rFonts w:ascii="David" w:hAnsi="David"/>
          <w:rtl w:val="true"/>
        </w:rPr>
        <w:t>עבירת נשק או עבירת אלימות מסוג פשע</w:t>
      </w:r>
      <w:r>
        <w:rPr>
          <w:rFonts w:ascii="David" w:hAnsi="David"/>
          <w:rtl w:val="true"/>
        </w:rPr>
        <w:t xml:space="preserve"> ויורשע בה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/>
        <w:t>,000</w:t>
      </w:r>
      <w:r>
        <w:rPr>
          <w:rtl w:val="true"/>
        </w:rPr>
        <w:t xml:space="preserve"> ₪</w:t>
      </w:r>
      <w:r>
        <w:rPr>
          <w:rtl w:val="true"/>
        </w:rPr>
        <w:t xml:space="preserve">, </w:t>
      </w:r>
      <w:r>
        <w:rPr>
          <w:rtl w:val="true"/>
        </w:rPr>
        <w:t>שישולמו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 </w:t>
      </w:r>
      <w:r>
        <w:rPr/>
        <w:t>01.0</w:t>
      </w:r>
      <w:r>
        <w:rPr/>
        <w:t>9</w:t>
      </w:r>
      <w:r>
        <w:rPr/>
        <w:t>.2024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/>
        <w:t>,000</w:t>
      </w:r>
      <w:r>
        <w:rPr>
          <w:rtl w:val="true"/>
        </w:rPr>
        <w:t xml:space="preserve"> ₪</w:t>
      </w:r>
      <w:r>
        <w:rPr>
          <w:rtl w:val="true"/>
        </w:rPr>
        <w:t xml:space="preserve">, </w:t>
      </w:r>
      <w:r>
        <w:rPr>
          <w:rtl w:val="true"/>
        </w:rPr>
        <w:t>שישולמו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 </w:t>
      </w:r>
      <w:r>
        <w:rPr/>
        <w:t>01.0</w:t>
      </w:r>
      <w:r>
        <w:rPr/>
        <w:t>9</w:t>
      </w:r>
      <w:r>
        <w:rPr/>
        <w:t>.2024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יעדכן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המתלוננים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בדבר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זכאותם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</w:t>
      </w:r>
      <w:r>
        <w:rPr>
          <w:rtl w:val="true"/>
        </w:rPr>
        <w:t>מי</w:t>
      </w:r>
      <w:r>
        <w:rPr>
          <w:rtl w:val="true"/>
        </w:rPr>
        <w:t>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תייצב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ביום </w:t>
      </w:r>
      <w:r>
        <w:rPr>
          <w:rFonts w:cs="David" w:ascii="David" w:hAnsi="David"/>
        </w:rPr>
        <w:t>16/6/24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השעה </w:t>
      </w:r>
      <w:r>
        <w:rPr>
          <w:rFonts w:cs="David" w:ascii="David" w:hAnsi="David"/>
        </w:rPr>
        <w:t>09:00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בבית הסוהר קישון </w:t>
      </w:r>
      <w:r>
        <w:rPr>
          <w:rFonts w:ascii="David" w:hAnsi="David"/>
          <w:rtl w:val="true"/>
        </w:rPr>
        <w:t>או במתקן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החלטת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לצורך ריצוי עונש המאסר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לנאש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>ם עומדת האפשרות למיון מוקדם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בתיאום עם ענף אבחון ומיון בשב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בטלפון</w:t>
      </w:r>
      <w:r>
        <w:rPr>
          <w:rFonts w:cs="David" w:ascii="David" w:hAnsi="David"/>
          <w:rtl w:val="true"/>
        </w:rPr>
        <w:t xml:space="preserve">:  </w:t>
      </w:r>
      <w:r>
        <w:rPr>
          <w:rFonts w:cs="David" w:ascii="David" w:hAnsi="David"/>
        </w:rPr>
        <w:t>074-7831077</w:t>
      </w:r>
      <w:r>
        <w:rPr>
          <w:rFonts w:cs="David" w:ascii="David" w:hAnsi="David"/>
          <w:rtl w:val="true"/>
        </w:rPr>
        <w:t xml:space="preserve"> / </w:t>
      </w:r>
      <w:r>
        <w:rPr>
          <w:rFonts w:cs="David" w:ascii="David" w:hAnsi="David"/>
        </w:rPr>
        <w:t>074-7831078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 הפירוט</w:t>
      </w:r>
      <w:r>
        <w:rPr>
          <w:rFonts w:cs="David" w:ascii="David" w:hAnsi="David"/>
          <w:rtl w:val="true"/>
        </w:rPr>
        <w:t>:</w:t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tl w:val="true"/>
        </w:rPr>
        <w:t>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חייאיב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074-7831077</w:t>
      </w:r>
      <w:r>
        <w:rPr>
          <w:rtl w:val="true"/>
        </w:rPr>
        <w:t xml:space="preserve"> (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/>
        <w:t>08-9787377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Fonts w:ascii="David" w:hAnsi="David"/>
          <w:rtl w:val="true"/>
        </w:rPr>
        <w:t xml:space="preserve">מירב אבוחצירה רשמת מאסרים נדחים – </w:t>
      </w:r>
      <w:r>
        <w:rPr>
          <w:rFonts w:cs="David" w:ascii="David" w:hAnsi="David"/>
        </w:rPr>
        <w:t>074-7831078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במקום </w:t>
      </w:r>
      <w:r>
        <w:rPr>
          <w:rFonts w:cs="David" w:ascii="David" w:hAnsi="David"/>
        </w:rPr>
        <w:t>08-9787336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2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והודע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 ניסן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01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מאי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המאשימה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: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עו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ד יאיר </w:t>
      </w:r>
      <w:bookmarkEnd w:id="12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גויכמן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;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כ הנאשם </w:t>
      </w:r>
      <w:r>
        <w:rPr>
          <w:rFonts w:cs="Arial" w:ascii="Arial" w:hAnsi="Arial"/>
          <w:b/>
          <w:bCs/>
          <w:sz w:val="26"/>
          <w:szCs w:val="26"/>
        </w:rPr>
        <w:t>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: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עו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 עדי קידר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;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המופיע גם בשם 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כ הנאשם </w:t>
      </w:r>
      <w:r>
        <w:rPr>
          <w:rFonts w:cs="Arial" w:ascii="Arial" w:hAnsi="Arial"/>
          <w:b/>
          <w:bCs/>
          <w:sz w:val="26"/>
          <w:szCs w:val="26"/>
        </w:rPr>
        <w:t>1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b/>
          <w:bCs/>
          <w:sz w:val="26"/>
          <w:szCs w:val="26"/>
          <w:rtl w:val="true"/>
        </w:rPr>
        <w:t>-</w:t>
      </w:r>
      <w:r>
        <w:rPr>
          <w:rFonts w:cs="Arial" w:ascii="Arial" w:hAnsi="Arial"/>
          <w:b/>
          <w:bCs/>
          <w:sz w:val="26"/>
          <w:szCs w:val="26"/>
        </w:rPr>
        <w:t>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;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הנאשם </w:t>
      </w:r>
      <w:r>
        <w:rPr>
          <w:rFonts w:cs="Arial" w:ascii="Arial" w:hAnsi="Arial"/>
          <w:b/>
          <w:bCs/>
          <w:sz w:val="26"/>
          <w:szCs w:val="26"/>
        </w:rPr>
        <w:t>1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באמצעות שב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ס והנאשמים </w:t>
      </w:r>
      <w:r>
        <w:rPr>
          <w:rFonts w:cs="Arial" w:ascii="Arial" w:hAnsi="Arial"/>
          <w:b/>
          <w:bCs/>
          <w:sz w:val="26"/>
          <w:szCs w:val="26"/>
        </w:rPr>
        <w:t>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b/>
          <w:bCs/>
          <w:sz w:val="26"/>
          <w:szCs w:val="26"/>
          <w:rtl w:val="true"/>
        </w:rPr>
        <w:t>-</w:t>
      </w:r>
      <w:r>
        <w:rPr>
          <w:rFonts w:cs="Arial" w:ascii="Arial" w:hAnsi="Arial"/>
          <w:b/>
          <w:bCs/>
          <w:sz w:val="26"/>
          <w:szCs w:val="26"/>
        </w:rPr>
        <w:t>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בעצמם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480" w:before="240" w:after="24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זכות ערעור כחוק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הודעה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480" w:before="240" w:after="24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  <w:tab/>
        <w:tab/>
        <w:tab/>
        <w:tab/>
        <w:tab/>
        <w:tab/>
      </w: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  <w:t xml:space="preserve">         </w:t>
      </w:r>
    </w:p>
    <w:p>
      <w:pPr>
        <w:pStyle w:val="Normal"/>
        <w:spacing w:lineRule="auto" w:line="480" w:before="240" w:after="240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spacing w:lineRule="auto" w:line="480" w:before="240" w:after="240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ארז פורת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7"/>
      <w:footerReference w:type="default" r:id="rId4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58770-07-22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אביאל גברילוב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QuoteChar">
    <w:name w:val="Quote Char"/>
    <w:qFormat/>
    <w:rPr>
      <w:rFonts w:ascii="Times New Roman" w:hAnsi="Times New Roman" w:eastAsia="Times New Roman" w:cs="David"/>
      <w:i/>
      <w:sz w:val="24"/>
      <w:szCs w:val="24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Quote">
    <w:name w:val="Quote"/>
    <w:basedOn w:val="Normal"/>
    <w:next w:val="Normal"/>
    <w:qFormat/>
    <w:pPr>
      <w:spacing w:lineRule="auto" w:line="360" w:before="200" w:after="200"/>
      <w:ind w:hanging="0" w:start="1418" w:end="1418"/>
      <w:jc w:val="both"/>
    </w:pPr>
    <w:rPr>
      <w:i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40.g" TargetMode="External"/><Relationship Id="rId6" Type="http://schemas.openxmlformats.org/officeDocument/2006/relationships/hyperlink" Target="http://www.nevo.co.il/law/70301/40f" TargetMode="External"/><Relationship Id="rId7" Type="http://schemas.openxmlformats.org/officeDocument/2006/relationships/hyperlink" Target="http://www.nevo.co.il/law/70301/144.4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144f" TargetMode="External"/><Relationship Id="rId10" Type="http://schemas.openxmlformats.org/officeDocument/2006/relationships/hyperlink" Target="http://www.nevo.co.il/law/70301/334" TargetMode="External"/><Relationship Id="rId11" Type="http://schemas.openxmlformats.org/officeDocument/2006/relationships/hyperlink" Target="http://www.nevo.co.il/law/70301/335.a.1" TargetMode="External"/><Relationship Id="rId12" Type="http://schemas.openxmlformats.org/officeDocument/2006/relationships/hyperlink" Target="http://www.nevo.co.il/law/70301/334" TargetMode="External"/><Relationship Id="rId13" Type="http://schemas.openxmlformats.org/officeDocument/2006/relationships/hyperlink" Target="http://www.nevo.co.il/law/70301/335.a.1" TargetMode="External"/><Relationship Id="rId14" Type="http://schemas.openxmlformats.org/officeDocument/2006/relationships/hyperlink" Target="http://www.nevo.co.il/law/70301/25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70301/144f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144.b2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/144.4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21044600" TargetMode="External"/><Relationship Id="rId24" Type="http://schemas.openxmlformats.org/officeDocument/2006/relationships/hyperlink" Target="http://www.nevo.co.il/case/21472291" TargetMode="External"/><Relationship Id="rId25" Type="http://schemas.openxmlformats.org/officeDocument/2006/relationships/hyperlink" Target="http://www.nevo.co.il/case/18067750" TargetMode="External"/><Relationship Id="rId26" Type="http://schemas.openxmlformats.org/officeDocument/2006/relationships/hyperlink" Target="http://www.nevo.co.il/case/17954529" TargetMode="External"/><Relationship Id="rId27" Type="http://schemas.openxmlformats.org/officeDocument/2006/relationships/hyperlink" Target="http://www.nevo.co.il/case/6859579" TargetMode="External"/><Relationship Id="rId28" Type="http://schemas.openxmlformats.org/officeDocument/2006/relationships/hyperlink" Target="http://www.nevo.co.il/case/6010862" TargetMode="External"/><Relationship Id="rId29" Type="http://schemas.openxmlformats.org/officeDocument/2006/relationships/hyperlink" Target="http://www.nevo.co.il/case/21050659" TargetMode="External"/><Relationship Id="rId30" Type="http://schemas.openxmlformats.org/officeDocument/2006/relationships/hyperlink" Target="http://www.nevo.co.il/case/22576642" TargetMode="External"/><Relationship Id="rId31" Type="http://schemas.openxmlformats.org/officeDocument/2006/relationships/hyperlink" Target="http://www.nevo.co.il/case/26795355" TargetMode="External"/><Relationship Id="rId32" Type="http://schemas.openxmlformats.org/officeDocument/2006/relationships/hyperlink" Target="http://www.nevo.co.il/case/27714832" TargetMode="External"/><Relationship Id="rId33" Type="http://schemas.openxmlformats.org/officeDocument/2006/relationships/hyperlink" Target="http://www.nevo.co.il/case/28243256" TargetMode="External"/><Relationship Id="rId34" Type="http://schemas.openxmlformats.org/officeDocument/2006/relationships/hyperlink" Target="http://www.nevo.co.il/case/28217264" TargetMode="External"/><Relationship Id="rId35" Type="http://schemas.openxmlformats.org/officeDocument/2006/relationships/hyperlink" Target="http://www.nevo.co.il/case/5750760" TargetMode="External"/><Relationship Id="rId36" Type="http://schemas.openxmlformats.org/officeDocument/2006/relationships/hyperlink" Target="http://www.nevo.co.il/case/25585384" TargetMode="External"/><Relationship Id="rId37" Type="http://schemas.openxmlformats.org/officeDocument/2006/relationships/hyperlink" Target="http://www.nevo.co.il/case/29466637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case/28229994" TargetMode="External"/><Relationship Id="rId41" Type="http://schemas.openxmlformats.org/officeDocument/2006/relationships/hyperlink" Target="http://www.nevo.co.il/case/28296934" TargetMode="External"/><Relationship Id="rId42" Type="http://schemas.openxmlformats.org/officeDocument/2006/relationships/hyperlink" Target="http://www.nevo.co.il/case/29209115" TargetMode="External"/><Relationship Id="rId43" Type="http://schemas.openxmlformats.org/officeDocument/2006/relationships/hyperlink" Target="http://www.nevo.co.il/law/70301/40f" TargetMode="External"/><Relationship Id="rId44" Type="http://schemas.openxmlformats.org/officeDocument/2006/relationships/hyperlink" Target="http://www.nevo.co.il/law/70301/40.g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advertisements/nevo-100.doc" TargetMode="External"/><Relationship Id="rId47" Type="http://schemas.openxmlformats.org/officeDocument/2006/relationships/header" Target="header1.xml"/><Relationship Id="rId48" Type="http://schemas.openxmlformats.org/officeDocument/2006/relationships/footer" Target="footer1.xml"/><Relationship Id="rId49" Type="http://schemas.openxmlformats.org/officeDocument/2006/relationships/fontTable" Target="fontTable.xml"/><Relationship Id="rId50" Type="http://schemas.openxmlformats.org/officeDocument/2006/relationships/settings" Target="settings.xml"/><Relationship Id="rId5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2024-05-05T12:13:00Z</dcterms:created>
  <dc:creator> </dc:creator>
  <dc:description/>
  <cp:keywords/>
  <dc:language>en-IL</dc:language>
  <cp:lastModifiedBy>h1</cp:lastModifiedBy>
  <dcterms:modified xsi:type="dcterms:W3CDTF">2024-05-05T12:13:00Z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אביאל גברילוב;אביאל גולדשטיין;דוד תייר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21044600;21472291;18067750;17954529;6859579;6010862;21050659;22576642;26795355;27714832;28243256;28217264;5750760;25585384;29466637;28229994;28296934;29209115</vt:lpwstr>
  </property>
  <property fmtid="{D5CDD505-2E9C-101B-9397-08002B2CF9AE}" pid="9" name="CITY">
    <vt:lpwstr>חי'</vt:lpwstr>
  </property>
  <property fmtid="{D5CDD505-2E9C-101B-9397-08002B2CF9AE}" pid="10" name="DATE">
    <vt:lpwstr>20240501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ארז פורת</vt:lpwstr>
  </property>
  <property fmtid="{D5CDD505-2E9C-101B-9397-08002B2CF9AE}" pid="14" name="LAWLISTTMP1">
    <vt:lpwstr>70301/334;335.a.1;025;029:3;144f;144.b2;144.4;040f;040.g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58770</vt:lpwstr>
  </property>
  <property fmtid="{D5CDD505-2E9C-101B-9397-08002B2CF9AE}" pid="22" name="NEWPARTB">
    <vt:lpwstr>07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390020240501</vt:lpwstr>
  </property>
  <property fmtid="{D5CDD505-2E9C-101B-9397-08002B2CF9AE}" pid="34" name="TYPE_N_DATE">
    <vt:lpwstr>39020240501</vt:lpwstr>
  </property>
  <property fmtid="{D5CDD505-2E9C-101B-9397-08002B2CF9AE}" pid="35" name="VOLUME">
    <vt:lpwstr/>
  </property>
  <property fmtid="{D5CDD505-2E9C-101B-9397-08002B2CF9AE}" pid="36" name="WORDNUMPAGES">
    <vt:lpwstr>12</vt:lpwstr>
  </property>
</Properties>
</file>