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86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31"/>
        <w:gridCol w:w="3730"/>
      </w:tblGrid>
      <w:tr>
        <w:trPr>
          <w:trHeight w:val="418" w:hRule="exact"/>
        </w:trPr>
        <w:tc>
          <w:tcPr>
            <w:tcW w:w="886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  <w:sz w:val="32"/>
                <w:szCs w:val="32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 xml:space="preserve">בית המשפט המחוזי בתל אביב </w:t>
            </w: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</w:rPr>
              <w:t xml:space="preserve">-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</w:rPr>
              <w:t>יפו</w:t>
            </w:r>
          </w:p>
        </w:tc>
      </w:tr>
      <w:tr>
        <w:trPr>
          <w:trHeight w:val="337" w:hRule="atLeast"/>
        </w:trPr>
        <w:tc>
          <w:tcPr>
            <w:tcW w:w="5131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58773-08-21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נ</w:t>
            </w:r>
            <w:r>
              <w:rPr>
                <w:sz w:val="26"/>
                <w:szCs w:val="26"/>
                <w:rtl w:val="true"/>
              </w:rPr>
              <w:t xml:space="preserve">' </w:t>
            </w:r>
            <w:r>
              <w:rPr>
                <w:sz w:val="26"/>
                <w:sz w:val="26"/>
                <w:szCs w:val="26"/>
                <w:rtl w:val="true"/>
              </w:rPr>
              <w:t>דבאח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sz w:val="26"/>
                <w:szCs w:val="26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73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</w:r>
    </w:p>
    <w:tbl>
      <w:tblPr>
        <w:bidiVisual w:val="true"/>
        <w:tblW w:w="8219" w:type="dxa"/>
        <w:jc w:val="start"/>
        <w:tblInd w:w="108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56"/>
        <w:gridCol w:w="2241"/>
        <w:gridCol w:w="5922"/>
      </w:tblGrid>
      <w:tr>
        <w:trPr/>
        <w:tc>
          <w:tcPr>
            <w:tcW w:w="56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16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כבוד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  <w:tr>
        <w:trPr>
          <w:trHeight w:val="724" w:hRule="atLeast"/>
          <w:cantSplit w:val="true"/>
        </w:trPr>
        <w:tc>
          <w:tcPr>
            <w:tcW w:w="22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  <w:bookmarkStart w:id="0" w:name="LastJudge"/>
            <w:bookmarkStart w:id="1" w:name="FirstLawyer"/>
            <w:bookmarkStart w:id="2" w:name="FirstAppellant"/>
            <w:bookmarkStart w:id="3" w:name="LastJudge"/>
            <w:bookmarkStart w:id="4" w:name="FirstLawyer"/>
            <w:bookmarkStart w:id="5" w:name="FirstAppellant"/>
            <w:bookmarkEnd w:id="3"/>
            <w:bookmarkEnd w:id="4"/>
            <w:bookmarkEnd w:id="5"/>
          </w:p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המאשימה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</w:rPr>
            </w:pPr>
            <w:r>
              <w:rPr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באמצעות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פרקליטות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מחוז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תל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אביב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פלילי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גולדשטיין</w:t>
            </w:r>
          </w:p>
        </w:tc>
      </w:tr>
      <w:tr>
        <w:trPr/>
        <w:tc>
          <w:tcPr>
            <w:tcW w:w="8219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ind w:end="0"/>
              <w:jc w:val="end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297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הנאשם</w:t>
            </w:r>
            <w:r>
              <w:rPr>
                <w:b/>
                <w:bCs/>
                <w:rtl w:val="true"/>
              </w:rPr>
              <w:t>: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עמרן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דבאח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ת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ז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Cs/>
              </w:rPr>
              <w:t>xxxxxxxxx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על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ידי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מחמוד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נעאמנה</w:t>
            </w:r>
          </w:p>
        </w:tc>
      </w:tr>
    </w:tbl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</w:r>
    </w:p>
    <w:p>
      <w:pPr>
        <w:pStyle w:val="12"/>
        <w:spacing w:lineRule="auto" w:line="360"/>
        <w:ind w:end="0"/>
        <w:jc w:val="center"/>
        <w:rPr>
          <w:sz w:val="8"/>
          <w:szCs w:val="8"/>
          <w:u w:val="none"/>
        </w:rPr>
      </w:pPr>
      <w:r>
        <w:rPr>
          <w:sz w:val="8"/>
          <w:szCs w:val="8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8"/>
          <w:szCs w:val="8"/>
          <w:u w:val="none"/>
        </w:rPr>
      </w:pPr>
      <w:r>
        <w:rPr>
          <w:rFonts w:cs="FrankRuehl" w:ascii="FrankRuehl" w:hAnsi="FrankRuehl"/>
          <w:b w:val="false"/>
          <w:bCs w:val="false"/>
          <w:sz w:val="8"/>
          <w:szCs w:val="8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6" w:name="LawTable"/>
      <w:bookmarkStart w:id="7" w:name="LawTable"/>
      <w:bookmarkEnd w:id="7"/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329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</w:rPr>
          <w:t>407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u w:val="none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u w:val="none"/>
            <w:rtl w:val="true"/>
          </w:rPr>
          <w:t>)</w:t>
        </w:r>
      </w:hyperlink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8" w:name="LawTable_End"/>
      <w:bookmarkStart w:id="9" w:name="LawTable_End"/>
      <w:bookmarkEnd w:id="9"/>
    </w:p>
    <w:p>
      <w:pPr>
        <w:pStyle w:val="12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center"/>
        <w:rPr>
          <w:rFonts w:ascii="Times New Roman" w:hAnsi="Times New Roman" w:eastAsia="Times New Roman"/>
          <w:b/>
          <w:bCs/>
          <w:sz w:val="32"/>
          <w:szCs w:val="32"/>
          <w:u w:val="single"/>
        </w:rPr>
      </w:pPr>
      <w:bookmarkStart w:id="10" w:name="PsakDin"/>
      <w:bookmarkEnd w:id="10"/>
      <w:r>
        <w:rPr>
          <w:rFonts w:ascii="Times New Roman" w:hAnsi="Times New Roman" w:eastAsia="Times New Roman" w:cs="David"/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ascii="Times New Roman" w:hAnsi="Times New Roman" w:eastAsia="Times New Roman"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rFonts w:ascii="Times New Roman" w:hAnsi="Times New Roman" w:eastAsia="Times New Roman" w:cs="David"/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bookmarkStart w:id="11" w:name="PsakDin"/>
      <w:bookmarkEnd w:id="11"/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כללי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57"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12" w:name="ABSTRACT_START"/>
      <w:bookmarkEnd w:id="12"/>
      <w:r>
        <w:rPr>
          <w:rFonts w:ascii="David" w:hAnsi="David" w:cs="David"/>
          <w:sz w:val="24"/>
          <w:sz w:val="24"/>
          <w:szCs w:val="24"/>
          <w:rtl w:val="true"/>
        </w:rPr>
        <w:t xml:space="preserve">הנאשם הורשע על יסוד הודאתו בעבירות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של חבלה בכוונה מחמירה לפי </w:t>
      </w:r>
      <w:hyperlink r:id="rId6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329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)(</w:t>
        </w:r>
        <w:r>
          <w:rPr>
            <w:rStyle w:val="Hyperlink"/>
            <w:rFonts w:cs="David" w:ascii="David" w:hAnsi="David"/>
            <w:sz w:val="24"/>
            <w:szCs w:val="24"/>
          </w:rPr>
          <w:t>1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ascii="David" w:hAnsi="David" w:cs="David"/>
          <w:sz w:val="24"/>
          <w:sz w:val="24"/>
          <w:szCs w:val="24"/>
          <w:rtl w:val="true"/>
        </w:rPr>
        <w:t xml:space="preserve"> והחזקת נשק לפי </w:t>
      </w:r>
      <w:hyperlink r:id="rId8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144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רישא לחוק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להלן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התיק העיקרי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bookmarkStart w:id="13" w:name="ABSTRACT_END"/>
      <w:bookmarkEnd w:id="13"/>
      <w:r>
        <w:rPr>
          <w:rFonts w:ascii="David" w:hAnsi="David" w:cs="David"/>
          <w:sz w:val="24"/>
          <w:sz w:val="24"/>
          <w:szCs w:val="24"/>
          <w:rtl w:val="true"/>
        </w:rPr>
        <w:t>לאחר הרשעתו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הודה הנאשם בעובדות כתב אישום נוסף שהוגש נגדו בבית משפט השלום בכפר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סבא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.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.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48899-03-20</w:t>
        </w:r>
      </w:hyperlink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להלן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תיק הצירוף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במסגרתו הורשע בעבירה של פריצה לבנין שאינו דירה וביצוע גניבה לפי </w:t>
      </w:r>
      <w:hyperlink r:id="rId10"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סעיף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 xml:space="preserve"> </w:t>
        </w:r>
        <w:r>
          <w:rPr>
            <w:rStyle w:val="Hyperlink"/>
            <w:rFonts w:cs="David" w:ascii="David" w:hAnsi="David"/>
            <w:sz w:val="24"/>
            <w:szCs w:val="24"/>
          </w:rPr>
          <w:t>407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(</w:t>
        </w:r>
        <w:r>
          <w:rPr>
            <w:rStyle w:val="Hyperlink"/>
            <w:rFonts w:ascii="David" w:hAnsi="David" w:cs="David"/>
            <w:sz w:val="24"/>
            <w:sz w:val="24"/>
            <w:szCs w:val="24"/>
            <w:rtl w:val="true"/>
          </w:rPr>
          <w:t>ב</w:t>
        </w:r>
        <w:r>
          <w:rPr>
            <w:rStyle w:val="Hyperlink"/>
            <w:rFonts w:cs="David" w:ascii="David" w:hAnsi="David"/>
            <w:sz w:val="24"/>
            <w:szCs w:val="24"/>
            <w:rtl w:val="true"/>
          </w:rPr>
          <w:t>)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hyperlink r:id="rId1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במסגרת הסדר הטיעון שגובש בין הצדדים תוק</w:t>
      </w:r>
      <w:r>
        <w:rPr>
          <w:rFonts w:ascii="David" w:hAnsi="David" w:cs="David"/>
          <w:sz w:val="24"/>
          <w:sz w:val="24"/>
          <w:szCs w:val="24"/>
          <w:rtl w:val="true"/>
        </w:rPr>
        <w:t>נו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כתב</w:t>
      </w:r>
      <w:r>
        <w:rPr>
          <w:rFonts w:ascii="David" w:hAnsi="David" w:cs="David"/>
          <w:sz w:val="24"/>
          <w:sz w:val="24"/>
          <w:szCs w:val="24"/>
          <w:rtl w:val="true"/>
        </w:rPr>
        <w:t>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האישום באופן שיפורט להלן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אולם הצדדים לא גיבשו הסכמה לעניין העונש ובהקשר זה טען כל צד 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פי מיטב שיקול דעתו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57"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פי עובדות כתב האישום המתוקן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בתיק העיקרי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ובני משפחתו התגוררו במתחם בעיר יפו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בסמוך לאמו וליוסף אחיו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13.8.2021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15:00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בעת שהנאשם ויוסף שהו במתחם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התפתח ויכוח בין השניים וזאת על רקע סברת הנאשם כי יוסף ירק לעברו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בנסיבות אלו נטל הנאשם אלה עשויה עץ ותקף באמצעותה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את יוסף בכך שהכוהו בגבו ובחזהו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בסמוך לכך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נטל הנאשם אקדח חצי אוטומטי </w:t>
      </w:r>
      <w:r>
        <w:rPr>
          <w:rFonts w:cs="David" w:ascii="David" w:hAnsi="David"/>
          <w:sz w:val="24"/>
          <w:szCs w:val="24"/>
        </w:rPr>
        <w:t>CZ</w:t>
      </w:r>
      <w:r>
        <w:rPr>
          <w:rFonts w:cs="David" w:ascii="David" w:hAnsi="David"/>
          <w:sz w:val="24"/>
          <w:szCs w:val="24"/>
          <w:rtl w:val="true"/>
        </w:rPr>
        <w:t xml:space="preserve"> 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אותו החזיק בביתו של כדין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התקדם לעבר הכניסה לבית של יוסף ואמו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ירה באקדח ופגע בירך הימנית של יוסף במטרה להטיל בו נכות או מום או לגרום לו חבלה חמורה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בעוד אמם ניצבת בסמוך להם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ממעשי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נגרמו ליוסף פצעי ירי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כניסה ויציאה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בירך ימין בגודל של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המטומה ובועות אוויר בסמוך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שבגינן אושפז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ימים והמשיך לקבל טיפול בקהילה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נגרמו לו המטומות בבית החזה ובאזור הגב המותני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פי עובדות כתב האישום המתוקן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בתיק הצירוף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ביום </w:t>
      </w:r>
      <w:r>
        <w:rPr>
          <w:rFonts w:cs="David" w:ascii="David" w:hAnsi="David"/>
          <w:sz w:val="24"/>
          <w:szCs w:val="24"/>
        </w:rPr>
        <w:t>18.3.2020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בשעה </w:t>
      </w:r>
      <w:r>
        <w:rPr>
          <w:rFonts w:cs="David" w:ascii="David" w:hAnsi="David"/>
          <w:sz w:val="24"/>
          <w:szCs w:val="24"/>
        </w:rPr>
        <w:t>02:19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הגיעו הנאשם ונאשם נוסף באמצעות רכב מסוג יונדאי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בבעלות אשת הנאשם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לסניף של פיצה דומינוס ברעננה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פרצו בצוותא חדא לבית העסק בכך ששברו את צירה של דלת הכניסה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נכנסו למשרד בו הייתה כספת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עקרו אותה באמצעות לום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נטלו אותה ועזבו את המקום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בכספת נמצא סך של </w:t>
      </w:r>
      <w:r>
        <w:rPr>
          <w:rFonts w:cs="David" w:ascii="David" w:hAnsi="David"/>
          <w:sz w:val="24"/>
          <w:szCs w:val="24"/>
        </w:rPr>
        <w:t>636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וכן המחאה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ראיות לעונש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התביעה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הגישה הצהרת נפגע עבירה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תע</w:t>
      </w:r>
      <w:r>
        <w:rPr>
          <w:rFonts w:cs="David" w:ascii="David" w:hAnsi="David"/>
          <w:sz w:val="24"/>
          <w:szCs w:val="24"/>
          <w:rtl w:val="true"/>
        </w:rPr>
        <w:t>/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מטעם נציג נפגעת העבירה בתיק הצירוף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המפרטת את הנזק הכלכלי שנגרם כתוצאה ממעשיו של הנאשם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כמו כן הוגש תסקיר שירות מבחן בעניינו של הנאשם במסגרת תיק הצירוף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אציין כבר כעת כי עיינתי בתיק הצירוף אליו התייחס התובע בטיעוניו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וככלל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אינני סבור כי יש בנתונים העולים מתוך תסקיר כדי להוביל להחמרה בענישה באופן לה טען התובע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בוודאי בנסיבותיו של התסקיר דנן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מטעם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ההגנה </w:t>
      </w:r>
      <w:r>
        <w:rPr>
          <w:rFonts w:ascii="David" w:hAnsi="David" w:cs="David"/>
          <w:sz w:val="24"/>
          <w:sz w:val="24"/>
          <w:szCs w:val="24"/>
          <w:rtl w:val="true"/>
        </w:rPr>
        <w:t>העידו בשלב העונש ארבעה עדים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גב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ascii="David" w:hAnsi="David" w:cs="David"/>
          <w:sz w:val="24"/>
          <w:sz w:val="24"/>
          <w:szCs w:val="24"/>
          <w:rtl w:val="true"/>
        </w:rPr>
        <w:t>מרים דבאח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בתו של 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בת </w:t>
      </w:r>
      <w:r>
        <w:rPr>
          <w:rFonts w:cs="David" w:ascii="David" w:hAnsi="David"/>
          <w:sz w:val="24"/>
          <w:szCs w:val="24"/>
        </w:rPr>
        <w:t>23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סיפרה כי מתקשה להירדם בלילות מאחר שקשה לה ללא אביה שנהג ללוות אותה ולסייע לה בכל תחום בחיי היומיום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מר מוטי סטרוקובסקי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מכיר את הנאשם מזה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העיד כי הופתע מאד כשגילה כי הנאשם הסתבך בפלילים הואיל ומדובר באדם נורמטיבי שראה את טובת הזולת והמשפחה לפני טובתו שלו ותמיד הציע עזרה וסיוע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נטען כי לא מדובר בעבריין אלא באדם שנקלע למצוקה והציע לעזור בשיקומו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העד הוסיף כי המשפחה תלויה לחלוטין בנאשם ותתקשה מאד לתפקד בלעדיו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מר יורם מנחם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מכיר את משפחת הנאשם מילדות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סיפר כי כבר מגיל צעיר הנאשם אהב לעזור לאנשים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לזרים והוא נהג לעבוד אצלו בעבודות ניקיון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גם בתקופה האחרונה לפני ביצוע העבירות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גם מר מנחם העיד כי קשה מאד למשפחת הנאשם בלעדיו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מר אדוארד טאנוס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שכנו של הנאשם ומכרו מזה עשרות שנים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העיד כי מדובר באדם ישר שמעד מעידה חד פעמית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ממנה יצליח להשתקם ולחזור למוטב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טענות הצדדים לעונש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בטיעוני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לעונש בתיק העיקרי עמד הת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בע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עו</w:t>
      </w:r>
      <w:r>
        <w:rPr>
          <w:rFonts w:cs="David" w:ascii="David" w:hAnsi="David"/>
          <w:color w:val="000000"/>
          <w:sz w:val="24"/>
          <w:szCs w:val="24"/>
          <w:rtl w:val="true"/>
        </w:rPr>
        <w:t>"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ד אורי גולדשטיין</w:t>
      </w:r>
      <w:r>
        <w:rPr>
          <w:rFonts w:cs="David" w:ascii="David" w:hAnsi="David"/>
          <w:color w:val="000000"/>
          <w:sz w:val="24"/>
          <w:szCs w:val="24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על נסיבות ביצוע 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>,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חומרת המעש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הערכים המוגנים שנפגעו ועוצמת הפגיעה בהם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והדגיש את התכנון בין אירוע התקיפה באמצעות האלה לבין נטילת האקדח </w:t>
      </w:r>
      <w:r>
        <w:rPr>
          <w:rFonts w:ascii="David" w:hAnsi="David" w:cs="David"/>
          <w:sz w:val="24"/>
          <w:sz w:val="24"/>
          <w:szCs w:val="24"/>
          <w:rtl w:val="true"/>
        </w:rPr>
        <w:t>וההגעה לביתו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ואת הנזקים הפיזיים והנפשיים שנגרמו 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התובע ציין כי קיימת חומרה מוגברת לעובדה כי מדובר באחים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כי המעשים בוצעו לעיני האם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הירי בוצע לאחר שהמתלונן הוכה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והמניע היה עניין של מה בכך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לפיכך עתרה התביעה לקבוע בגין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התיק העיקרי מתחם הנע בין </w:t>
      </w:r>
      <w:r>
        <w:rPr>
          <w:rFonts w:cs="David" w:ascii="David" w:hAnsi="David"/>
          <w:b/>
          <w:bCs/>
          <w:sz w:val="24"/>
          <w:szCs w:val="24"/>
        </w:rPr>
        <w:t>4.5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7.5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לעונש בתוך המתחם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העתירה העונשית של התביעה היא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4.5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גם אם המתחם שייקבע יהיה נמוך מהמתחם לו עתרה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לתיק הצירוף נטען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יש משקל לחומרה לתכנון המוקדם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לנזק הכלכלי שנגרם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לכך שהכסף לא הוחזר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ולעמדת שירות המבחן לפיה הנאשם נוטל אחריות שטחית ופורמאלית בלבד למעשיו וממזער חלקו באירוע על אף שהיה מבצע עיקרי והביא את הרכב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כן עתרה התביעה לקבוע בגין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תיק הצירוף מתחם הנע בין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ולהשית על הנאשם עונש של 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לעונש הכולל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התביעה סברה כי יש לצבור את מרבית העונש שיוטל בתיק הצירוף לעונש שיוטל בתיק העיקרי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ולחפוף רק חלק מזערי ממנו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הסנגור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עו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ד מחמוד נעאמנה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התייחס בטיעוניו לתיקון המשמעותי שנערך בעובדות כתב האישום בתיק העיקרי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להודאת הנאשם בשלב מוקדם של ההליך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לחיסכון בזמן הציבורי ולחיסכון בשמיעת עדים רבים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לרבות עדותם של האם ושל האח בתיק העיקרי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נטען כי התנהלות זו של הנאשם מלמדת על הבעת חרטה כנה ועמוקה והפנמת הפסול במעשיו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הסנגור הוסיף כי בתיק העיקרי דובר באירוע רגעי וספונטני וציין כי בפועל לא נגרם נזק משמעותי או נכות שכן המתלונן נורה בפלג גופו התחתון ירייה אחת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וכי הנשק נתפס בסופו של האירוע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אשר לתיק הצירוף נטען כי דובר על סך של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600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בהמחאות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הנזקים הנטענים בתצהיר נפגע העבירה לא הוכחו והעבירה בוצעה ללא כל תחכום</w:t>
      </w:r>
      <w:r>
        <w:rPr>
          <w:rFonts w:cs="David" w:ascii="David" w:hAnsi="David"/>
          <w:sz w:val="24"/>
          <w:szCs w:val="24"/>
          <w:rtl w:val="true"/>
        </w:rPr>
        <w:t xml:space="preserve">.  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לנסיבות האישיות נטען כי הנאשם גדל בתנאים לא פשוטים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אביו היה בעל עבר פלילי ורקע של שימוש בסמים ולכן הנאשם גדל ללא דמות אבהית חמה ומכוונת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יש לו אח נוסף בעל רקע נפשי והנאשם מטפל בו ומסייע לו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הוא סובל מבעיות רפואיות שהחריפו בעקבות השהייה במעצר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תומך כלכלית באמו ואחיו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מצוי בחובות כלכליים ונושא בנטל הפרנסה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ואב לשתי בנות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שאחת מהן סובלת משיתוק מוחין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לאור האמור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הסנגור סבר כי יש לקבוע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בתיק העיקרי מתחם ענישה שמתחיל ב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;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ובתיק הצירוף מתחם שמתחיל 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עבודות שירות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למקם את הנאשם בתחתית שני המתחמים להם עתר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ולחפוף את מלוא העונש שיוטל עליו בתיק הצירוף לעונש שיוטל עליו בתיק העיקרי</w:t>
      </w:r>
      <w:r>
        <w:rPr>
          <w:rFonts w:cs="David" w:ascii="David" w:hAnsi="David"/>
          <w:sz w:val="24"/>
          <w:szCs w:val="24"/>
          <w:rtl w:val="true"/>
        </w:rPr>
        <w:t xml:space="preserve">.   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הביע חרטה על מעשיו וביקש להתחשב בו ובמשפחתו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ובעיקר בשתי בנותיו מאחר שאין מי שישמור עליהן ויפרנס אותן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 w:cs="David"/>
          <w:b/>
          <w:b/>
          <w:bCs/>
          <w:sz w:val="28"/>
          <w:sz w:val="28"/>
          <w:szCs w:val="28"/>
          <w:u w:val="single"/>
          <w:rtl w:val="true"/>
        </w:rPr>
        <w:t>דיון והכרעה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מתחם העונש ההולם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57"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הנאשם הורשע בעבירות חמורות הן בתיק העיקרי והן בתיק הצירוף ומטבע הדברים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לקבוע מתחם ענישה בעניינו של כל אחד מהתיקים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אציין כבר בפתח הדברים כי תיק הצירוף מצוי בסמכות בית משפט השלום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כל המשתמע מכך לעניין רמת הענישה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בהתייחס לתיק העיקרי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הרי שמדובר באירוע חמור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אלים וראוי לכל גינוי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במיוחד כאשר ניתן לראות במהלכו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קפיצת מדרגה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משמעותית המבטאת הסלמה עת עבר הנאשם מתקיפה באמצעות חפץ קהה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אלה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לירי באמצעות נשק חם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אקדח חצי אוטומטי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לפיכך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יש לקבוע בצידו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תג מחיר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אשר יהא בו לשקף את חומרת המעשים ולייצר הרתעה ראויה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לעניין זה מצאתי להפנות לדבריו של בית המשפט העליון ב</w:t>
      </w:r>
      <w:hyperlink r:id="rId1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7850/21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דסוקי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9.6.2022</w:t>
      </w:r>
      <w:r>
        <w:rPr>
          <w:rFonts w:cs="David" w:ascii="David" w:hAnsi="David"/>
          <w:sz w:val="24"/>
          <w:szCs w:val="24"/>
          <w:rtl w:val="true"/>
        </w:rPr>
        <w:t>)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להלן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עניין דסוקי</w:t>
      </w:r>
      <w:r>
        <w:rPr>
          <w:rFonts w:cs="David" w:ascii="David" w:hAnsi="David"/>
          <w:sz w:val="24"/>
          <w:szCs w:val="24"/>
          <w:rtl w:val="true"/>
        </w:rPr>
        <w:t>):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משפט זה עמד לא אחת על חומרתן הרבה של עבירות אלימות המבוצעות תוך שימוש בנשק חם ועל הצורך להילחם במבצעיהן ביד קשה תוך הטלת עונשים מרתיעים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דברים אלו חלים ביתר שאת כאשר מדובר בנאשם אשר השתמש בפועל בנשק חם וגרם לפציעתו החמורה של נפגע העבירה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–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 זאת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תוך סיכון ביטחונם של אזרחים שלווים עוברי אורח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מקרים כאלה הם בגדר מכת מדינה אשר מחייבת את בתי המשפט להירתם למאבק בעבריינים באמצעות ענישה מחמירה ובלתי מתפשרת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במסגרת זו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שומה עלינו לזכור כי מדובר במשחק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סכום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אפס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: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שופט שמרחם על עבריין נשק ומקל בעונשו אינו מרחם על הקורבן הבא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נקבע לא אחת כי עבירות נשק טומנות בחובן פוטנציאל להסלמה עבריינית ולסכנה ממשית לציבור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מהוות את התשתית לביצוע מגוון רחב של עבירות הגוררות פגיעה בגוף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בנפש וברכוש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ופוגעות בערכים החברתיים הבסיסיים ביותר שעניינם הגנה על שלום הציבור וביטחונו ועל הסדר החברתי </w:t>
      </w:r>
      <w:r>
        <w:rPr>
          <w:rFonts w:cs="David" w:ascii="David" w:hAnsi="David"/>
          <w:sz w:val="24"/>
          <w:szCs w:val="24"/>
          <w:rtl w:val="true"/>
        </w:rPr>
        <w:t>(</w:t>
      </w:r>
      <w:hyperlink r:id="rId1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3156/11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זראיעה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פס</w:t>
      </w:r>
      <w:r>
        <w:rPr>
          <w:rFonts w:cs="David" w:ascii="David" w:hAnsi="David"/>
          <w:sz w:val="24"/>
          <w:szCs w:val="24"/>
          <w:rtl w:val="true"/>
        </w:rPr>
        <w:t xml:space="preserve">'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cs="David" w:ascii="David" w:hAnsi="David"/>
          <w:sz w:val="24"/>
          <w:szCs w:val="24"/>
        </w:rPr>
        <w:t>21.2.2012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1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4406/19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סובח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5.11.2019</w:t>
      </w:r>
      <w:r>
        <w:rPr>
          <w:rFonts w:cs="David" w:ascii="David" w:hAnsi="David"/>
          <w:sz w:val="24"/>
          <w:szCs w:val="24"/>
          <w:rtl w:val="true"/>
        </w:rPr>
        <w:t>)).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מעשיו של הנאשם פגעו בעוצמה משמעותית בערכים המוגנים של כבוד האדם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שלמות הגוף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הזכות לאוטונומיה על הגוף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הביטחון האישי והביטחון הציבורי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הגנה על שלום הציבור ועל הסדר החברתי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דומה כי האירוע החל באופן ספונטאני ובלהט הרגע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מתוך סערת רגשות וללא מחשבה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על רקע ויכוח שהתפתח בין הנאשם למתלונן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ואולם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טעם מסוים גם בעמדת התביעה לפיה הנאשם יכול היה להימנע מהמשך האירוע וביצוע הירי שעה שנדרש לגשת לביתו על מנת ליטול את האקדח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במסגרת מתחם העונש ההולם יש לשקלל גם את הנזקים שנגרמו למתלונן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פצעי ירי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כניסה ויציאה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בירך ימין בגודל של כ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1.5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ס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מ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עם המטומה ובועות אוויר בסמוך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שבגינן אושפז למשך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ימים והמשיך לקבל טיפול בקהילה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נגרמו לו המטומות בבית החזה ובאזור הגב המותני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ניתן לשער שלמתלונן נגרמו גם נזקים נפשיים בעקבות האימה שאוחזת כל אחד בסיטואציה דומה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ליתן את הדעת לנזק הפוטנציאלי שיכול היה להיגרם שכן האירוע יכול היה להסתיים בפציעות חמורות עוד יותר ואף במוות בעקבות הירי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זאת ועוד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מן הסוג בהן עסקינן קיימת אפשרות להתלקחות אלימה אשר איננה תלויה רק בנאשם אלא גם בתגובת המתלונן שלא ניתן לצפתה מראש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cs="David" w:ascii="David" w:hAnsi="David"/>
          <w:sz w:val="24"/>
          <w:szCs w:val="24"/>
          <w:rtl w:val="true"/>
        </w:rPr>
      </w:r>
    </w:p>
    <w:p>
      <w:pPr>
        <w:pStyle w:val="ListParagraph"/>
        <w:numPr>
          <w:ilvl w:val="0"/>
          <w:numId w:val="4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אשר למדיניות הענישה הנוהגת בעבירות של נשק וחבלה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מצאתי את פסקי הדין הבאים כרלוונטיים</w:t>
      </w:r>
      <w:r>
        <w:rPr>
          <w:rFonts w:cs="David" w:ascii="David" w:hAnsi="David"/>
          <w:sz w:val="24"/>
          <w:szCs w:val="24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בעניין דסוקי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 על יסוד הודאתו בעבירות של חבלה בכוונה מחמירה ונשיאת נשק בכך שבעקבות סכסוך של אחיו עם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עקב המערער אחר המתלונן ברכבו כשהוא מצויד באקדח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עצר את רכבו במקביל למכוניתו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שאל לשלומו ובעודו עונה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נטל המערער את האקדח וירה דרך חלון רכבו שלוש יריות לעבר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כאשר ירייה אחת פגעה במתלונן בירכו השמאלית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הנע בין </w:t>
      </w:r>
      <w:r>
        <w:rPr>
          <w:rFonts w:cs="David" w:ascii="David" w:hAnsi="David"/>
          <w:b/>
          <w:bCs/>
          <w:sz w:val="24"/>
          <w:szCs w:val="24"/>
        </w:rPr>
        <w:t>3.5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בפועל והשית על המערער </w:t>
      </w:r>
      <w:r>
        <w:rPr>
          <w:rFonts w:cs="David" w:ascii="David" w:hAnsi="David"/>
          <w:sz w:val="24"/>
          <w:szCs w:val="24"/>
        </w:rPr>
        <w:t>51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לצד עונשים נלווים והפעיל עונש מאסר מותנה בן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במצטבר 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חודשים בחופף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שהוגש נגד חומרת העונש נדחה על ידי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בציינו כי</w:t>
      </w:r>
      <w:r>
        <w:rPr>
          <w:rFonts w:cs="David" w:ascii="David" w:hAnsi="David"/>
          <w:sz w:val="24"/>
          <w:szCs w:val="24"/>
          <w:rtl w:val="true"/>
        </w:rPr>
        <w:t>:"...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מדובר בעונש מוצדק לחלוטין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ואף מתון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...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לא נמלא את חובתנו כדבעי אם נקל בעונשו של המערער אפילו במקצת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פניו</w:t>
      </w:r>
      <w:r>
        <w:rPr>
          <w:rFonts w:cs="David" w:ascii="David" w:hAnsi="David"/>
          <w:sz w:val="24"/>
          <w:szCs w:val="24"/>
          <w:rtl w:val="true"/>
        </w:rPr>
        <w:t>, "</w:t>
      </w:r>
      <w:r>
        <w:rPr>
          <w:rFonts w:ascii="David" w:hAnsi="David" w:cs="David"/>
          <w:sz w:val="24"/>
          <w:sz w:val="24"/>
          <w:szCs w:val="24"/>
          <w:rtl w:val="true"/>
        </w:rPr>
        <w:t>באינסטינקט הראשוני</w:t>
      </w:r>
      <w:r>
        <w:rPr>
          <w:rFonts w:cs="David" w:ascii="David" w:hAnsi="David"/>
          <w:sz w:val="24"/>
          <w:szCs w:val="24"/>
          <w:rtl w:val="true"/>
        </w:rPr>
        <w:t xml:space="preserve">", </w:t>
      </w:r>
      <w:r>
        <w:rPr>
          <w:rFonts w:ascii="David" w:hAnsi="David" w:cs="David"/>
          <w:sz w:val="24"/>
          <w:sz w:val="24"/>
          <w:szCs w:val="24"/>
          <w:rtl w:val="true"/>
        </w:rPr>
        <w:t>נדמה כי מקרה זה חמור מענייננו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בשל סוג עבירת הנשק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נשיאת נשק לעומת החזקת נשק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ומספר היריות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שלוש לעומת אחת</w:t>
      </w:r>
      <w:r>
        <w:rPr>
          <w:rFonts w:cs="David" w:ascii="David" w:hAnsi="David"/>
          <w:sz w:val="24"/>
          <w:szCs w:val="24"/>
          <w:rtl w:val="true"/>
        </w:rPr>
        <w:t>).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בניגוד לדסוקי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שבפניי תקף את המתלונן גם באמצעות אלה בצוותא חדא יחד עם אחרים ועל כן סבורני כי שני המקרים מצויים ברף דומה של חומרה</w:t>
      </w:r>
      <w:r>
        <w:rPr>
          <w:rFonts w:cs="David" w:ascii="David" w:hAnsi="David"/>
          <w:sz w:val="24"/>
          <w:szCs w:val="24"/>
          <w:rtl w:val="true"/>
        </w:rPr>
        <w:t xml:space="preserve">. 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</w:rPr>
      </w:pPr>
      <w:hyperlink r:id="rId1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6737/21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זאיד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2.6.2022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 לאחר ניהול הליך הוכחות בעבירות של 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נשק שלא כדין וירי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המערער לאחיו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אשר גר בשכנות 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התגלע סכסוך בעקבות גידופים שנהג המתלונן להשמיע כלפי אשתו של המערער ועל רקע מחלוקות כספיות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במועד הרלוונטי לכתב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גידף את אשת המערער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בתגובה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התפתח ריב בין המתלונן למערער במהלכו דחף המתלונן את המערער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עזב את המקום כשהוא כעוס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הצטייד באקדח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לחצר ביתו של המתלונן וירה בו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למתלונן נגרמו ארבעה פצעי ירי בבטן וארבעה פצעי ירי בפלג גופו התחתון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והשית על המערער 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בהמלצת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חזר בו המערער מערעורו על הכרעת הדין ועל גזר הדין</w:t>
      </w:r>
      <w:r>
        <w:rPr>
          <w:rFonts w:cs="David" w:ascii="David" w:hAnsi="David"/>
          <w:sz w:val="24"/>
          <w:szCs w:val="24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אין ספק כי מדובר במקרה חמור באופן משמעותי מענייננו הן בשל סוג העבירות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נשיאת נשק וירי באזור מגורים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הן בשל כמות היריות ומיקומן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פלג גוף עליון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והן בשל הנזקים החמורים שנגרמו למתלונן בעניין אבו זאיד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שמונה פצעי ירי</w:t>
      </w:r>
      <w:r>
        <w:rPr>
          <w:rFonts w:cs="David" w:ascii="David" w:hAnsi="David"/>
          <w:sz w:val="24"/>
          <w:szCs w:val="24"/>
          <w:rtl w:val="true"/>
        </w:rPr>
        <w:t>)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16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2251/21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אבו עראר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15.12.2021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המערערים הורשעו על יסוד הודאתם בעבירות של קשירת קשר לפשע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החזקת נשק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חבלה בכוונה מחמירה ושיבוש מהלכי משפט בכך שעל רקע סכסוך שהתגלע בין שני פלגים בישוב בו הם מתגוררים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ובעקבות בפגיעה במערער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ואחרים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החליטו המערערים לנקום וקשרו קשר לפגוע במתלונן בפלג גופו התחתון ולגרום לו חבלה חמורה באמצעות ירי בנשק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המערערים </w:t>
      </w:r>
      <w:r>
        <w:rPr>
          <w:rFonts w:cs="David" w:ascii="David" w:hAnsi="David"/>
          <w:sz w:val="24"/>
          <w:szCs w:val="24"/>
        </w:rPr>
        <w:t>5-2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נסעו ברכב וכשהבחינו במתלונן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נאשם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שלף את האקדח וירה לעבר המתלונן מספר יריות לכיוון פלג גופו התחתון ואחת היריות פגעה ברגלו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גם מערער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ירה לעבר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כתוצאה מכך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נפגע המתלונן בשוק שמאל ונגרם לו שבר פתוח בעצם הטיביה בשל כניסה ויציאה של קליע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בעניינם של המערערים </w:t>
      </w:r>
      <w:r>
        <w:rPr>
          <w:rFonts w:cs="David" w:ascii="David" w:hAnsi="David"/>
          <w:sz w:val="24"/>
          <w:szCs w:val="24"/>
        </w:rPr>
        <w:t>2-1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(</w:t>
      </w:r>
      <w:r>
        <w:rPr>
          <w:rFonts w:ascii="David" w:hAnsi="David" w:cs="David"/>
          <w:sz w:val="24"/>
          <w:sz w:val="24"/>
          <w:szCs w:val="24"/>
          <w:rtl w:val="true"/>
        </w:rPr>
        <w:t>שהורשעו גם בעבירה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4"/>
          <w:szCs w:val="24"/>
        </w:rPr>
        <w:t>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בעוד שבעניינו של מערער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אשר נהג ברכב נקבע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4"/>
          <w:szCs w:val="24"/>
        </w:rPr>
        <w:t>3.5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ובעניינו של מערער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נקבע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4"/>
          <w:szCs w:val="24"/>
        </w:rPr>
        <w:t>3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7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מערער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48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מערער </w:t>
      </w:r>
      <w:r>
        <w:rPr>
          <w:rFonts w:cs="David" w:ascii="David" w:hAnsi="David"/>
          <w:sz w:val="24"/>
          <w:szCs w:val="24"/>
        </w:rPr>
        <w:t>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52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מערער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42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על מערער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36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ועל מערער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</w:rPr>
        <w:t>52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שהוגש על חומרת העונש נדחה על ידי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. 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עניינם של המערערים חמור יותר מעניינו של הנאשם שבפניי הן בשל סוג העבירות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מערערים </w:t>
      </w:r>
      <w:r>
        <w:rPr>
          <w:rFonts w:cs="David" w:ascii="David" w:hAnsi="David"/>
          <w:sz w:val="24"/>
          <w:szCs w:val="24"/>
        </w:rPr>
        <w:t>2-1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ו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הורשעו גם בעבירה של נשיאת נשק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r>
        <w:rPr>
          <w:rFonts w:ascii="David" w:hAnsi="David" w:cs="David"/>
          <w:sz w:val="24"/>
          <w:sz w:val="24"/>
          <w:szCs w:val="24"/>
          <w:rtl w:val="true"/>
        </w:rPr>
        <w:t>הן בשל קשירת הקשר והתכנון המוקדם</w:t>
      </w:r>
      <w:r>
        <w:rPr>
          <w:rFonts w:cs="David" w:ascii="David" w:hAnsi="David"/>
          <w:sz w:val="24"/>
          <w:szCs w:val="24"/>
          <w:rtl w:val="true"/>
        </w:rPr>
        <w:t xml:space="preserve">; </w:t>
      </w:r>
      <w:r>
        <w:rPr>
          <w:rFonts w:ascii="David" w:hAnsi="David" w:cs="David"/>
          <w:sz w:val="24"/>
          <w:sz w:val="24"/>
          <w:szCs w:val="24"/>
          <w:rtl w:val="true"/>
        </w:rPr>
        <w:t>והן בשל ביצוע העבירות בחבורה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יחד 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לזכור כי עובר לירי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תקף הנאשם שבפניי את המתלונן באמצעות אלה בצוותא חדא עם אחרים ויש לנתון זה השפעה על קביעת מתחם העונש ההולם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17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9104/20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טבצ</w:t>
      </w:r>
      <w:r>
        <w:rPr>
          <w:rFonts w:cs="David" w:ascii="David" w:hAnsi="David"/>
          <w:b/>
          <w:bCs/>
          <w:sz w:val="24"/>
          <w:szCs w:val="24"/>
          <w:rtl w:val="true"/>
        </w:rPr>
        <w:t>'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ניקוב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4.3.2021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המשיב הורשע על יסוד הודאתו בעבירות של 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נשיאת נשק והחזקת סם מסוכן לצריכה עצמית בכך שהצטייד באקדח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לעסק בו עבד המתלונן ולאחר חילופי דברים בינו לבין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שלף את אקדחו וירה בירכו השמאלית של המתלונן ירייה אחת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נזקק לניתוח ברגלו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המשיב נתפס על ידי המשטרה כשעל גופו </w:t>
      </w:r>
      <w:r>
        <w:rPr>
          <w:rFonts w:cs="David" w:ascii="David" w:hAnsi="David"/>
          <w:sz w:val="24"/>
          <w:szCs w:val="24"/>
        </w:rPr>
        <w:t>1.5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גרם קוקאין וכסף מזומן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מתחם ענישה שנע בין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60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והשית על המשיב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שהוגש על קולת העונש התקבל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המשפט העליון החמיר בעונשו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של המשיב ל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והפעיל מאסר מותנה בן </w:t>
      </w:r>
      <w:r>
        <w:rPr>
          <w:rFonts w:cs="David" w:ascii="David" w:hAnsi="David"/>
          <w:sz w:val="24"/>
          <w:szCs w:val="24"/>
        </w:rPr>
        <w:t>12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חודשים שהיה תלוי ועומד נגדו במצטבר כך שסך הכל הושתו על המשיב </w:t>
      </w:r>
      <w:r>
        <w:rPr>
          <w:rFonts w:cs="David" w:ascii="David" w:hAnsi="David"/>
          <w:sz w:val="24"/>
          <w:szCs w:val="24"/>
        </w:rPr>
        <w:t>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נקבע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כי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העונש שנגזר עליו מקל עמו יתר על המידה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עד כדי סטייה מהותית מהענישה הנוהגת</w:t>
      </w:r>
      <w:r>
        <w:rPr>
          <w:rFonts w:cs="David" w:ascii="David" w:hAnsi="David"/>
          <w:sz w:val="24"/>
          <w:szCs w:val="24"/>
          <w:rtl w:val="true"/>
        </w:rPr>
        <w:t xml:space="preserve">".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מקרה זה אמנם חמור יותר ביחס לעבירת הנשק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נשיאה לעומת החזקה</w:t>
      </w:r>
      <w:r>
        <w:rPr>
          <w:rFonts w:cs="David" w:ascii="David" w:hAnsi="David"/>
          <w:sz w:val="24"/>
          <w:szCs w:val="24"/>
          <w:rtl w:val="true"/>
        </w:rPr>
        <w:t xml:space="preserve">), </w:t>
      </w:r>
      <w:r>
        <w:rPr>
          <w:rFonts w:ascii="David" w:hAnsi="David" w:cs="David"/>
          <w:sz w:val="24"/>
          <w:sz w:val="24"/>
          <w:szCs w:val="24"/>
          <w:rtl w:val="true"/>
        </w:rPr>
        <w:t>אך בענייננו הנאשם תקף את המתלונן גם באמצעות אלה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18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6101/16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עווד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28.6.2017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 לאחר ניהול הליך הוכחות בעבירות של חבלה בכוונה מחמירה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ירי באזור מגורים ונשיאת נשק בכך שעל רקע סכסוך שנתגלע בין המערער למתלונן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פתח את דלת רכבו של המתלונן וירה לעבר פלג גופו התחתון שתי יריות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המתלונן ניסה להימלט 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הדבר לא עלה בידו והמערער שב והתקרב אל המכונית וירה עוד מספר יריות לעבר המתלונן דרך חלון הנהג ונמלט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המתלונן נפגע בשתי רגליו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12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והשית על המערער </w:t>
      </w:r>
      <w:r>
        <w:rPr>
          <w:rFonts w:cs="David" w:ascii="David" w:hAnsi="David"/>
          <w:sz w:val="24"/>
          <w:szCs w:val="24"/>
        </w:rPr>
        <w:t>9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ערעור שהוגש על חומרת העונש התקבל על ידי בית המשפט העליון אשר הפחית את עונשו של מהערער 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 מאחר שהפגיעה במתלונן לא הייתה קשה והמערער לא כיוון את הנשק לעבר פלג גופו העליון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עוד ציין בית המשפט העליון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 המתחם שקבע בית המשפט המחוזי רחב ומחמיר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גם מקרה זה חמור באופן משמעותי מענייננו מאותם טעמים שפורטו לעיל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19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4876/12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עמר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23.1.2013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המערער הורשע על יסוד הודאתו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בעבירות של החזקת נשק וירי באזור מגורים בכך שעל רקע סכסוך עם המתלונן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שלף המערער אקדח וירה מתוך רכבו מספר יריות אשר חלקן פגעו בחלק האחורי של רכבו של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הטיל על המערער </w:t>
      </w:r>
      <w:r>
        <w:rPr>
          <w:rFonts w:cs="David" w:ascii="David" w:hAnsi="David"/>
          <w:sz w:val="24"/>
          <w:szCs w:val="24"/>
        </w:rPr>
        <w:t>30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בפועל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בית המשפט העליון קיבל את הערעור שהגיש המערער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והעמיד את עונשו על </w:t>
      </w:r>
      <w:r>
        <w:rPr>
          <w:rFonts w:cs="David" w:ascii="David" w:hAnsi="David"/>
          <w:sz w:val="24"/>
          <w:szCs w:val="24"/>
        </w:rPr>
        <w:t>24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בין היתר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נוכח הסכמת המשיבה להפחתה </w:t>
      </w:r>
      <w:r>
        <w:rPr>
          <w:rFonts w:cs="David" w:ascii="David" w:hAnsi="David"/>
          <w:sz w:val="24"/>
          <w:szCs w:val="24"/>
          <w:rtl w:val="true"/>
        </w:rPr>
        <w:t>"</w:t>
      </w:r>
      <w:r>
        <w:rPr>
          <w:rFonts w:ascii="David" w:hAnsi="David" w:cs="David"/>
          <w:sz w:val="24"/>
          <w:sz w:val="24"/>
          <w:szCs w:val="24"/>
          <w:rtl w:val="true"/>
        </w:rPr>
        <w:t>שולית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בעונשו של המערער על רקע הסדר אליו הגיעו הצדדים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ענייננו חמור יותר בשל הנזקים הפיזיים שנגרמו למתלונן מהתקיפה באמצעות האלה ומהירי שבא לאחר מכן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20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חי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')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7597-05-20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גרבאן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19.10.2021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על יסוד הודאתו בעבירות של חבלה בכוונה מחמירה והחזקה ונשיאת נשק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על פי עובדות כתב האישום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הנאשם והמתלונן מתגוררים שניהם בג</w:t>
      </w:r>
      <w:r>
        <w:rPr>
          <w:rFonts w:cs="David" w:ascii="David" w:hAnsi="David"/>
          <w:sz w:val="24"/>
          <w:szCs w:val="24"/>
          <w:rtl w:val="true"/>
        </w:rPr>
        <w:t>'</w:t>
      </w:r>
      <w:r>
        <w:rPr>
          <w:rFonts w:ascii="David" w:hAnsi="David" w:cs="David"/>
          <w:sz w:val="24"/>
          <w:sz w:val="24"/>
          <w:szCs w:val="24"/>
          <w:rtl w:val="true"/>
        </w:rPr>
        <w:t>סר א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זרקא ועל רקע סכסוך בין המשפחות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הגיע הנאשם סמוך לבית הורי המתלונן כשהוא מחזיק ונושא אקדח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הבחין במתלונן וירה לעברו מספר יריות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כתוצאה מהירי נפגע המתלונן מקליע ברגלו </w:t>
      </w:r>
      <w:r>
        <w:rPr>
          <w:rFonts w:ascii="David" w:hAnsi="David" w:cs="David"/>
          <w:sz w:val="24"/>
          <w:sz w:val="24"/>
          <w:szCs w:val="24"/>
          <w:rtl w:val="true"/>
        </w:rPr>
        <w:t>ונגרמו לו פצע כניסה ויציאה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בית המשפט המחוזי קבע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4"/>
          <w:szCs w:val="24"/>
        </w:rPr>
        <w:t>4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9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שנות מאסר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והשית על הנאשם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שנות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57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גם מקרה זה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נראה לכאורה חמור יותר מענייננו בשל ההרשעה בעבירה של נשיאת נשק וכמות היריות שנורו לעבר המתלונן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עם זאת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הנזקים הפיזיים שנגרמו למתלוננים בשני המקרים דומים במידת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מה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ובענייננו </w:t>
      </w:r>
      <w:r>
        <w:rPr>
          <w:rFonts w:ascii="David" w:hAnsi="David" w:cs="David"/>
          <w:sz w:val="24"/>
          <w:sz w:val="24"/>
          <w:szCs w:val="24"/>
          <w:rtl w:val="true"/>
        </w:rPr>
        <w:t>התרחשה גם תקיפה מוקדמת בחבורה באמצעות אלה</w:t>
      </w:r>
      <w:r>
        <w:rPr>
          <w:rFonts w:cs="David" w:ascii="David" w:hAnsi="David"/>
          <w:sz w:val="24"/>
          <w:szCs w:val="24"/>
          <w:rtl w:val="true"/>
        </w:rPr>
        <w:t xml:space="preserve">.    </w:t>
      </w:r>
    </w:p>
    <w:p>
      <w:pPr>
        <w:pStyle w:val="ListParagraph"/>
        <w:numPr>
          <w:ilvl w:val="0"/>
          <w:numId w:val="1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hyperlink r:id="rId21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67454-11-20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סמוני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12.8.2021</w:t>
      </w:r>
      <w:r>
        <w:rPr>
          <w:rFonts w:cs="David" w:ascii="David" w:hAnsi="David"/>
          <w:sz w:val="24"/>
          <w:szCs w:val="24"/>
          <w:rtl w:val="true"/>
        </w:rPr>
        <w:t xml:space="preserve">) - </w:t>
      </w:r>
      <w:r>
        <w:rPr>
          <w:rFonts w:ascii="David" w:hAnsi="David" w:cs="David"/>
          <w:sz w:val="24"/>
          <w:sz w:val="24"/>
          <w:szCs w:val="24"/>
          <w:rtl w:val="true"/>
        </w:rPr>
        <w:t>הנאשם הורשע על יסוד הודאתו בעבירות של החזק נשק וירי בנשק חם באזור מגורים בכך שהתעורר יחד עם אחרים במתחם בתים משותף בתל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ascii="David" w:hAnsi="David" w:cs="David"/>
          <w:sz w:val="24"/>
          <w:sz w:val="24"/>
          <w:szCs w:val="24"/>
          <w:rtl w:val="true"/>
        </w:rPr>
        <w:t>אביב ובעקבות סכסוך שנתגלע בין המתגוררים במתחם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התפתחה תגרה אלימה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הנאשם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שהחזיק אקדח חצי אוטומטי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עמד על גג הבית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כיוון את האקדח כלפי מעלה וירה מספר יריות באוויר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באותו מקרה קבעתי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ענישה שנע בין </w:t>
      </w:r>
      <w:r>
        <w:rPr>
          <w:rFonts w:cs="David" w:ascii="David" w:hAnsi="David"/>
          <w:b/>
          <w:bCs/>
          <w:sz w:val="24"/>
          <w:szCs w:val="24"/>
        </w:rPr>
        <w:t>20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48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וגזרתי על הנאשם </w:t>
      </w:r>
      <w:r>
        <w:rPr>
          <w:rFonts w:cs="David" w:ascii="David" w:hAnsi="David"/>
          <w:sz w:val="24"/>
          <w:szCs w:val="24"/>
        </w:rPr>
        <w:t>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לצד עונשים נלווים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אין חולק כי ענייננו חמור באופן משמעותי מעניינו של סמוני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בעיקר בשל העובדה שבענייננו קיים מתלונן שנגרמו לו נזקים פיזיים ונפשיים כתוצאה מביצוע העבירות ויש לכך השפעה על המתחם שייקבע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יסוד כלל השיקולים שפורטו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ראיתי לקבוע בתיק העיקרי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  <w:sz w:val="24"/>
          <w:szCs w:val="24"/>
        </w:rPr>
        <w:t>42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- </w:t>
      </w:r>
      <w:r>
        <w:rPr>
          <w:rFonts w:cs="David" w:ascii="David" w:hAnsi="David"/>
          <w:b/>
          <w:bCs/>
          <w:sz w:val="24"/>
          <w:szCs w:val="24"/>
        </w:rPr>
        <w:t>70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בהתייחס לתיק הצירוף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ascii="David" w:hAnsi="David" w:cs="David"/>
          <w:sz w:val="24"/>
          <w:sz w:val="24"/>
          <w:szCs w:val="24"/>
          <w:rtl w:val="true"/>
        </w:rPr>
        <w:t>הערכים שנפגעו עניינם בשמירה על הקניין והרכוש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הגנה על מקום עסקו של אדם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הגנה על בטחון הציבור והסדר הציבורי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לצד הפגיעה בערכים אלו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יש ליתן את הדעת גם לתכנון שקדם לביצוע העבירה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ההצטיידות בלום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ההגעה ברכב שבבעלות אשת הנאשם לסניף בשעת ליל מאוחרת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לכך שהעבירה בוצעה בצוותא חדא עם אדם נוסף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לחלקו הדומיננטי של הנאשם בביצוע העבירה ולנזק שנגרם בפועל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כפי שבא לידי ביטוי בהצהרת נפגעת העבירה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המתחם שהציעה התביעה </w:t>
      </w:r>
      <w:r>
        <w:rPr>
          <w:rFonts w:cs="David" w:ascii="David" w:hAnsi="David"/>
          <w:sz w:val="24"/>
          <w:szCs w:val="24"/>
          <w:rtl w:val="true"/>
        </w:rPr>
        <w:t xml:space="preserve">- </w:t>
      </w:r>
      <w:r>
        <w:rPr>
          <w:rFonts w:cs="David" w:ascii="David" w:hAnsi="David"/>
          <w:sz w:val="24"/>
          <w:szCs w:val="24"/>
        </w:rPr>
        <w:t>6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שתחתיתו מקובל גם על ההגנה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מקובל עליי ונראה מתאים ומאוזן בשקלול הנתונים ובהשוואה למדיניות הענישה הנוהגת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ראו למשל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  <w:hyperlink r:id="rId22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4830/20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סויסה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28.7.2020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23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5471/20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לוי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16.10.2020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24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רע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3478/18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קמנקו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מדינת ישראל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8.5.2018</w:t>
      </w:r>
      <w:r>
        <w:rPr>
          <w:rFonts w:cs="David" w:ascii="David" w:hAnsi="David"/>
          <w:sz w:val="24"/>
          <w:szCs w:val="24"/>
          <w:rtl w:val="true"/>
        </w:rPr>
        <w:t xml:space="preserve">); </w:t>
      </w:r>
      <w:hyperlink r:id="rId25"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עפ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 xml:space="preserve">ג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ת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David" w:hAnsi="David" w:cs="David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  <w:rtl w:val="true"/>
          </w:rPr>
          <w:t xml:space="preserve">) </w:t>
        </w:r>
        <w:r>
          <w:rPr>
            <w:rStyle w:val="Hyperlink"/>
            <w:rFonts w:cs="David" w:ascii="David" w:hAnsi="David"/>
            <w:color w:val="0000FF"/>
            <w:sz w:val="24"/>
            <w:szCs w:val="24"/>
            <w:u w:val="single"/>
          </w:rPr>
          <w:t>36138-04-15</w:t>
        </w:r>
      </w:hyperlink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אל וחידי נ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'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מדינת ישראל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cs="David" w:ascii="David" w:hAnsi="David"/>
          <w:sz w:val="24"/>
          <w:szCs w:val="24"/>
        </w:rPr>
        <w:t>1.7.2015</w:t>
      </w:r>
      <w:r>
        <w:rPr>
          <w:rFonts w:cs="David" w:ascii="David" w:hAnsi="David"/>
          <w:sz w:val="24"/>
          <w:szCs w:val="24"/>
          <w:rtl w:val="true"/>
        </w:rPr>
        <w:t xml:space="preserve">)).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על יסוד כלל השיקולים שפורטו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ראיתי לקבוע בתיק הצירוף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 xml:space="preserve">מתחם עונש הולם הנע בין </w:t>
      </w:r>
      <w:r>
        <w:rPr>
          <w:rFonts w:cs="David" w:ascii="David" w:hAnsi="David"/>
          <w:b/>
          <w:bCs/>
          <w:sz w:val="24"/>
          <w:szCs w:val="24"/>
        </w:rPr>
        <w:t>6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ל</w:t>
      </w:r>
      <w:r>
        <w:rPr>
          <w:rFonts w:cs="David" w:ascii="David" w:hAnsi="David"/>
          <w:b/>
          <w:bCs/>
          <w:sz w:val="24"/>
          <w:szCs w:val="24"/>
          <w:rtl w:val="true"/>
        </w:rPr>
        <w:t>-</w:t>
      </w:r>
      <w:r>
        <w:rPr>
          <w:rFonts w:cs="David" w:ascii="David" w:hAnsi="David"/>
          <w:b/>
          <w:bCs/>
          <w:sz w:val="24"/>
          <w:szCs w:val="24"/>
        </w:rPr>
        <w:t>18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חודשי מאסר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  <w:u w:val="single"/>
        </w:rPr>
      </w:pPr>
      <w:r>
        <w:rPr>
          <w:rFonts w:cs="David" w:ascii="David" w:hAnsi="David"/>
          <w:sz w:val="24"/>
          <w:szCs w:val="24"/>
          <w:u w:val="single"/>
          <w:rtl w:val="true"/>
        </w:rPr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קביעת העונש המתאים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ב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מסגרת בחינת הנסיבות שאינן קשורות בביצוע העבירה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נתתי דעתי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 לנתונים הבאים</w:t>
      </w:r>
      <w:r>
        <w:rPr>
          <w:rFonts w:cs="David" w:ascii="David" w:hAnsi="David"/>
          <w:color w:val="000000"/>
          <w:sz w:val="24"/>
          <w:szCs w:val="24"/>
          <w:rtl w:val="true"/>
        </w:rPr>
        <w:t>: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הודה ולקח אחריות הן בתיק העיקרי והן בתיק הצירוף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אין חולק כי מדובר בנתון המצדיק הקלה בעונש הן נוכח החיסכון בזמן הציבורי והן נוכח העובדה כי הודאתו הובילה לחסכון בעדות האח והאם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סיטואציה שהיה בה כדי להעצים את הסכסוך המתואר בכתב האישום</w:t>
      </w:r>
      <w:r>
        <w:rPr>
          <w:rFonts w:cs="David" w:ascii="David" w:hAnsi="David"/>
          <w:color w:val="000000"/>
          <w:sz w:val="24"/>
          <w:szCs w:val="24"/>
          <w:rtl w:val="true"/>
        </w:rPr>
        <w:t>.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הנאשם נעדר עבר פלילי ואין לחובתו הרשעות קודמות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לנתון זה יש משקל משמעותי בקביעת העונש המתאים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כפועל יוצא מכך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מדובר במאסרו הראשון והפסיקה הכירה בתקופת המאסר הראשונה כקשה במיוחד וכנתון המצדיק התחשבות בענישה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color w:val="000000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נתתי דעתי גם לנסיבותיו האישיות של הנאשם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כפי שאלו פורטו בהרחבה על ידי הסנגור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ובכלל אלה ילדותו המורכבת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קשייו הכלכליים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מצבו הרפואי והעובדה כי הוא </w:t>
      </w:r>
      <w:r>
        <w:rPr>
          <w:rFonts w:ascii="David" w:hAnsi="David" w:cs="David"/>
          <w:b/>
          <w:b/>
          <w:bCs/>
          <w:color w:val="000000"/>
          <w:sz w:val="24"/>
          <w:sz w:val="24"/>
          <w:szCs w:val="24"/>
          <w:rtl w:val="true"/>
        </w:rPr>
        <w:t>אב לשתי בנות שאחת מהן סובלת משיתוק מוחין וזקוקה לו ולתמיכתו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יש משקל מסוים בעיני גם לעדויות שנשמעו מטעם ההגנה לעניין העונש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ולדמותו החיובית של הנאשם כפי שהשתקפה מהן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>לאור האמור</w:t>
      </w:r>
      <w:r>
        <w:rPr>
          <w:rFonts w:cs="David" w:ascii="David" w:hAnsi="David"/>
          <w:color w:val="000000"/>
          <w:sz w:val="24"/>
          <w:szCs w:val="24"/>
          <w:rtl w:val="true"/>
        </w:rPr>
        <w:t xml:space="preserve">, </w:t>
      </w:r>
      <w:r>
        <w:rPr>
          <w:rFonts w:ascii="David" w:hAnsi="David" w:cs="David"/>
          <w:color w:val="000000"/>
          <w:sz w:val="24"/>
          <w:sz w:val="24"/>
          <w:szCs w:val="24"/>
          <w:rtl w:val="true"/>
        </w:rPr>
        <w:t xml:space="preserve">מצאתי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למקם את עונשו של הנאשם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הן בתיק העיקרי והן בתיק הצירוף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>בתחתית המתחמים שנקבעו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כמו כן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ראיתי להורות על חפיפה בת שלושה חודשים בין מתחמי הענישה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spacing w:lineRule="auto" w:line="360" w:before="240" w:after="240"/>
        <w:ind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u w:val="single"/>
          <w:rtl w:val="true"/>
        </w:rPr>
        <w:t>סוף דבר</w:t>
      </w:r>
    </w:p>
    <w:p>
      <w:pPr>
        <w:pStyle w:val="ListParagraph"/>
        <w:numPr>
          <w:ilvl w:val="0"/>
          <w:numId w:val="2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על בסיס האמור לעיל ראיתי להטיל על הנאשם עונש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כולל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 בגין שני התיקים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וזאת כמפורט להלן</w:t>
      </w:r>
      <w:r>
        <w:rPr>
          <w:rFonts w:cs="David" w:ascii="David" w:hAnsi="David"/>
          <w:sz w:val="24"/>
          <w:szCs w:val="24"/>
          <w:rtl w:val="true"/>
        </w:rPr>
        <w:t xml:space="preserve">: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24"/>
          <w:szCs w:val="24"/>
        </w:rPr>
        <w:t>45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לריצוי בפועל החל מיום מעצרו </w:t>
      </w:r>
      <w:r>
        <w:rPr>
          <w:rFonts w:cs="David" w:ascii="David" w:hAnsi="David"/>
          <w:sz w:val="24"/>
          <w:szCs w:val="24"/>
        </w:rPr>
        <w:t>13.8.2021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ובניכוי תקופת מעצר נוספת שבין יום </w:t>
      </w:r>
      <w:r>
        <w:rPr>
          <w:rFonts w:cs="David" w:ascii="David" w:hAnsi="David"/>
          <w:sz w:val="24"/>
          <w:szCs w:val="24"/>
        </w:rPr>
        <w:t>18.3.2020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ליום </w:t>
      </w:r>
      <w:r>
        <w:rPr>
          <w:rFonts w:cs="David" w:ascii="David" w:hAnsi="David"/>
          <w:sz w:val="24"/>
          <w:szCs w:val="24"/>
        </w:rPr>
        <w:t>25.3.2020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24"/>
          <w:szCs w:val="24"/>
        </w:rPr>
        <w:t>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חודשי מאסר אולם הנאשם לא יישא עונש זה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אלא אם יעבור 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כל עבירת נשק מסוג פשע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או עבירת אלימות נגד הגוף מסוג פשע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4"/>
          <w:szCs w:val="4"/>
        </w:rPr>
      </w:pPr>
      <w:r>
        <w:rPr>
          <w:rFonts w:cs="David" w:ascii="David" w:hAnsi="David"/>
          <w:sz w:val="24"/>
          <w:szCs w:val="24"/>
        </w:rPr>
        <w:t>4</w:t>
      </w:r>
      <w:r>
        <w:rPr>
          <w:rFonts w:cs="David" w:ascii="David" w:hAnsi="David"/>
          <w:sz w:val="24"/>
          <w:szCs w:val="24"/>
          <w:rtl w:val="true"/>
        </w:rPr>
        <w:t xml:space="preserve"> 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חודשי מאסר אולם הנאשם לא יישא עונש זה אלא אם יעבור תוך </w:t>
      </w:r>
      <w:r>
        <w:rPr>
          <w:rFonts w:cs="David" w:ascii="David" w:hAnsi="David"/>
          <w:sz w:val="24"/>
          <w:szCs w:val="24"/>
        </w:rPr>
        <w:t>3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שנים מיום שחרורו עבירת אלימות נגד הגוף מסוג עוון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4"/>
          <w:szCs w:val="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פיצוי בסך </w:t>
      </w:r>
      <w:r>
        <w:rPr>
          <w:rFonts w:cs="David" w:ascii="David" w:hAnsi="David"/>
          <w:sz w:val="24"/>
          <w:szCs w:val="24"/>
        </w:rPr>
        <w:t>6,000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לטובת המתלונן בתיק העיקרי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עד תביעה </w:t>
      </w:r>
      <w:r>
        <w:rPr>
          <w:rFonts w:cs="David" w:ascii="David" w:hAnsi="David"/>
          <w:sz w:val="24"/>
          <w:szCs w:val="24"/>
        </w:rPr>
        <w:t>1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בכתב האישום המקורי</w:t>
      </w:r>
      <w:r>
        <w:rPr>
          <w:rFonts w:cs="David" w:ascii="David" w:hAnsi="David"/>
          <w:sz w:val="24"/>
          <w:szCs w:val="24"/>
          <w:rtl w:val="true"/>
        </w:rPr>
        <w:t xml:space="preserve">). </w:t>
      </w:r>
      <w:r>
        <w:rPr>
          <w:rFonts w:ascii="David" w:hAnsi="David" w:cs="David"/>
          <w:sz w:val="24"/>
          <w:sz w:val="24"/>
          <w:szCs w:val="24"/>
          <w:rtl w:val="true"/>
        </w:rPr>
        <w:t>הפיצוי ישולם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תשלומים חודשיים ושווים החל מיום </w:t>
      </w:r>
      <w:r>
        <w:rPr>
          <w:rFonts w:cs="David" w:ascii="David" w:hAnsi="David"/>
          <w:sz w:val="24"/>
          <w:szCs w:val="24"/>
        </w:rPr>
        <w:t>1.2.2023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ישולם אחד התשלומים במועדו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יעמוד הסכום לפירעון מלא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 w:before="240" w:after="240"/>
        <w:ind w:hanging="360" w:start="360" w:end="0"/>
        <w:contextualSpacing w:val="false"/>
        <w:jc w:val="both"/>
        <w:rPr>
          <w:rFonts w:ascii="David" w:hAnsi="David" w:cs="David"/>
          <w:sz w:val="4"/>
          <w:szCs w:val="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פיצוי בסך </w:t>
      </w:r>
      <w:r>
        <w:rPr>
          <w:rFonts w:cs="David" w:ascii="David" w:hAnsi="David"/>
          <w:sz w:val="24"/>
          <w:szCs w:val="24"/>
        </w:rPr>
        <w:t>4,000</w:t>
      </w:r>
      <w:r>
        <w:rPr>
          <w:rFonts w:cs="David" w:ascii="David" w:hAnsi="David"/>
          <w:sz w:val="24"/>
          <w:szCs w:val="24"/>
          <w:rtl w:val="true"/>
        </w:rPr>
        <w:t xml:space="preserve"> ₪ </w:t>
      </w:r>
      <w:r>
        <w:rPr>
          <w:rFonts w:ascii="David" w:hAnsi="David" w:cs="David"/>
          <w:sz w:val="24"/>
          <w:sz w:val="24"/>
          <w:szCs w:val="24"/>
          <w:rtl w:val="true"/>
        </w:rPr>
        <w:t>לנפגעת העבירה בתיק הצירוף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התביעה תמציא למזכירות בית המשפט את פרטי נפגעת העבירה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הפיצוי ישולם ב</w:t>
      </w:r>
      <w:r>
        <w:rPr>
          <w:rFonts w:cs="David" w:ascii="David" w:hAnsi="David"/>
          <w:sz w:val="24"/>
          <w:szCs w:val="24"/>
          <w:rtl w:val="true"/>
        </w:rPr>
        <w:t>-</w:t>
      </w:r>
      <w:r>
        <w:rPr>
          <w:rFonts w:cs="David" w:ascii="David" w:hAnsi="David"/>
          <w:sz w:val="24"/>
          <w:szCs w:val="24"/>
        </w:rPr>
        <w:t>10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תשלומים חודשיים ושווים החל מיום </w:t>
      </w:r>
      <w:r>
        <w:rPr>
          <w:rFonts w:cs="David" w:ascii="David" w:hAnsi="David"/>
          <w:sz w:val="24"/>
          <w:szCs w:val="24"/>
        </w:rPr>
        <w:t>1.2.2023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  <w:r>
        <w:rPr>
          <w:rFonts w:ascii="David" w:hAnsi="David" w:cs="David"/>
          <w:sz w:val="24"/>
          <w:sz w:val="24"/>
          <w:szCs w:val="24"/>
          <w:rtl w:val="true"/>
        </w:rPr>
        <w:t>לא ישולם אחד התשלומים במועדו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ascii="David" w:hAnsi="David" w:cs="David"/>
          <w:sz w:val="24"/>
          <w:sz w:val="24"/>
          <w:szCs w:val="24"/>
          <w:rtl w:val="true"/>
        </w:rPr>
        <w:t>יעמוד הסכום לפירעון מלא</w:t>
      </w:r>
      <w:r>
        <w:rPr>
          <w:rFonts w:cs="David" w:ascii="David" w:hAnsi="David"/>
          <w:sz w:val="24"/>
          <w:szCs w:val="24"/>
          <w:rtl w:val="true"/>
        </w:rPr>
        <w:t xml:space="preserve">. 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ניתן צו כללי למוצגים לשיקול דעת קצין משטרה ו</w:t>
      </w:r>
      <w:r>
        <w:rPr>
          <w:rFonts w:cs="David" w:ascii="David" w:hAnsi="David"/>
          <w:rtl w:val="true"/>
        </w:rPr>
        <w:t>/</w:t>
      </w:r>
      <w:r>
        <w:rPr>
          <w:rFonts w:ascii="David" w:hAnsi="David"/>
          <w:rtl w:val="true"/>
        </w:rPr>
        <w:t>או התביעה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התביעה תדאג לבטל את העיקול שהוטל על רכב שנתפס במסגרת תיק הצירוף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וזאת ככל שיופקד סכום של </w:t>
      </w:r>
      <w:r>
        <w:rPr>
          <w:rFonts w:cs="David" w:ascii="David" w:hAnsi="David"/>
        </w:rPr>
        <w:t>3,500</w:t>
      </w:r>
      <w:r>
        <w:rPr>
          <w:rFonts w:cs="David" w:ascii="David" w:hAnsi="David"/>
          <w:rtl w:val="true"/>
        </w:rPr>
        <w:t xml:space="preserve"> ₪. </w:t>
      </w:r>
    </w:p>
    <w:p>
      <w:pPr>
        <w:pStyle w:val="Normal"/>
        <w:spacing w:lineRule="auto" w:line="360" w:before="240" w:after="240"/>
        <w:ind w:start="36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זכות ערעור כחוק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ListParagraph"/>
        <w:ind w:start="360" w:end="0"/>
        <w:jc w:val="start"/>
        <w:rPr>
          <w:sz w:val="14"/>
          <w:szCs w:val="14"/>
        </w:rPr>
      </w:pPr>
      <w:bookmarkStart w:id="14" w:name="Nitan"/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ניתן והודע היום י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ד אב תשפ</w:t>
      </w:r>
      <w:r>
        <w:rPr>
          <w:rFonts w:cs="David" w:ascii="David" w:hAnsi="David"/>
          <w:b/>
          <w:bCs/>
          <w:sz w:val="24"/>
          <w:szCs w:val="24"/>
          <w:rtl w:val="true"/>
        </w:rPr>
        <w:t>"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, </w:t>
      </w:r>
      <w:r>
        <w:rPr>
          <w:rFonts w:cs="David" w:ascii="David" w:hAnsi="David"/>
          <w:b/>
          <w:bCs/>
          <w:sz w:val="24"/>
          <w:szCs w:val="24"/>
        </w:rPr>
        <w:t>11/8/2022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 </w:t>
      </w:r>
      <w:r>
        <w:rPr>
          <w:rFonts w:ascii="David" w:hAnsi="David" w:cs="David"/>
          <w:b/>
          <w:b/>
          <w:bCs/>
          <w:sz w:val="24"/>
          <w:sz w:val="24"/>
          <w:szCs w:val="24"/>
          <w:rtl w:val="true"/>
        </w:rPr>
        <w:t>במעמד הצדדים</w:t>
      </w:r>
      <w:r>
        <w:rPr>
          <w:rFonts w:cs="David" w:ascii="David" w:hAnsi="David"/>
          <w:b/>
          <w:bCs/>
          <w:sz w:val="24"/>
          <w:szCs w:val="24"/>
          <w:rtl w:val="true"/>
        </w:rPr>
        <w:t xml:space="preserve">. </w:t>
      </w:r>
      <w:bookmarkEnd w:id="14"/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בני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שגיא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Header"/>
        <w:ind w:end="0"/>
        <w:jc w:val="center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בני שגיא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7"/>
      <w:footerReference w:type="default" r:id="rId28"/>
      <w:type w:val="nextPage"/>
      <w:pgSz w:w="11906" w:h="16838"/>
      <w:pgMar w:left="1080" w:right="1080" w:gutter="0" w:header="187" w:top="1701" w:footer="720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ת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58773-08-21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עמרן דבאח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0"/>
        </w:tabs>
        <w:ind w:start="360" w:hanging="360"/>
      </w:pPr>
      <w:rPr>
        <w:sz w:val="24"/>
        <w:szCs w:val="24"/>
        <w:rFonts w:ascii="David" w:hAnsi="David" w:cs="David"/>
        <w:lang w:val="en-US"/>
      </w:r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rFonts w:ascii="Arial" w:hAnsi="Arial" w:eastAsia="Times New Roman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  <w:rFonts w:ascii="David" w:hAnsi="David" w:cs="David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b w:val="false"/>
        <w:bCs w:val="false"/>
        <w:rFonts w:ascii="Arial" w:hAnsi="Arial" w:eastAsia="Times New Roman" w:cs="David"/>
      </w:rPr>
    </w:lvl>
  </w:abstractNum>
  <w:abstractNum w:abstractNumId="5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cs="David"/>
      <w:sz w:val="24"/>
      <w:szCs w:val="24"/>
      <w:lang w:val="en-US"/>
    </w:rPr>
  </w:style>
  <w:style w:type="character" w:styleId="WW8Num2z0">
    <w:name w:val="WW8Num2z0"/>
    <w:qFormat/>
    <w:rPr>
      <w:rFonts w:ascii="Arial" w:hAnsi="Arial" w:eastAsia="Times New Roman" w:cs="David"/>
      <w:b w:val="false"/>
      <w:bCs w:val="false"/>
    </w:rPr>
  </w:style>
  <w:style w:type="character" w:styleId="WW8Num3z0">
    <w:name w:val="WW8Num3z0"/>
    <w:qFormat/>
    <w:rPr>
      <w:rFonts w:ascii="David" w:hAnsi="David" w:cs="David"/>
      <w:sz w:val="24"/>
      <w:szCs w:val="24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2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12">
    <w:name w:val="רגיל + ‏12 נק'"/>
    <w:basedOn w:val="Normal"/>
    <w:qFormat/>
    <w:pPr/>
    <w:rPr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29.a.1" TargetMode="External"/><Relationship Id="rId5" Type="http://schemas.openxmlformats.org/officeDocument/2006/relationships/hyperlink" Target="http://www.nevo.co.il/law/70301/407.b" TargetMode="External"/><Relationship Id="rId6" Type="http://schemas.openxmlformats.org/officeDocument/2006/relationships/hyperlink" Target="http://www.nevo.co.il/law/70301/329.a.1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case/26564298" TargetMode="External"/><Relationship Id="rId10" Type="http://schemas.openxmlformats.org/officeDocument/2006/relationships/hyperlink" Target="http://www.nevo.co.il/law/70301/407.b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28096675" TargetMode="External"/><Relationship Id="rId13" Type="http://schemas.openxmlformats.org/officeDocument/2006/relationships/hyperlink" Target="http://www.nevo.co.il/case/5878682" TargetMode="External"/><Relationship Id="rId14" Type="http://schemas.openxmlformats.org/officeDocument/2006/relationships/hyperlink" Target="http://www.nevo.co.il/case/25824863" TargetMode="External"/><Relationship Id="rId15" Type="http://schemas.openxmlformats.org/officeDocument/2006/relationships/hyperlink" Target="http://www.nevo.co.il/case/27960491" TargetMode="External"/><Relationship Id="rId16" Type="http://schemas.openxmlformats.org/officeDocument/2006/relationships/hyperlink" Target="http://www.nevo.co.il/case/27513376" TargetMode="External"/><Relationship Id="rId17" Type="http://schemas.openxmlformats.org/officeDocument/2006/relationships/hyperlink" Target="http://www.nevo.co.il/case/27272576" TargetMode="External"/><Relationship Id="rId18" Type="http://schemas.openxmlformats.org/officeDocument/2006/relationships/hyperlink" Target="http://www.nevo.co.il/case/21476990" TargetMode="External"/><Relationship Id="rId19" Type="http://schemas.openxmlformats.org/officeDocument/2006/relationships/hyperlink" Target="http://www.nevo.co.il/case/5588206" TargetMode="External"/><Relationship Id="rId20" Type="http://schemas.openxmlformats.org/officeDocument/2006/relationships/hyperlink" Target="http://www.nevo.co.il/case/26642471" TargetMode="External"/><Relationship Id="rId21" Type="http://schemas.openxmlformats.org/officeDocument/2006/relationships/hyperlink" Target="http://www.nevo.co.il/case/27193819" TargetMode="External"/><Relationship Id="rId22" Type="http://schemas.openxmlformats.org/officeDocument/2006/relationships/hyperlink" Target="http://www.nevo.co.il/case/26845105" TargetMode="External"/><Relationship Id="rId23" Type="http://schemas.openxmlformats.org/officeDocument/2006/relationships/hyperlink" Target="http://www.nevo.co.il/case/26902298" TargetMode="External"/><Relationship Id="rId24" Type="http://schemas.openxmlformats.org/officeDocument/2006/relationships/hyperlink" Target="http://www.nevo.co.il/case/24140940" TargetMode="External"/><Relationship Id="rId25" Type="http://schemas.openxmlformats.org/officeDocument/2006/relationships/hyperlink" Target="http://www.nevo.co.il/case/20212442" TargetMode="External"/><Relationship Id="rId26" Type="http://schemas.openxmlformats.org/officeDocument/2006/relationships/hyperlink" Target="http://www.nevo.co.il/advertisements/nevo-100.doc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2023-09-28T10:38:00Z</dcterms:created>
  <dc:creator> </dc:creator>
  <dc:description/>
  <cp:keywords/>
  <dc:language>en-IL</dc:language>
  <cp:lastModifiedBy>h1</cp:lastModifiedBy>
  <dcterms:modified xsi:type="dcterms:W3CDTF">2023-09-28T10:38:00Z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עמרן דבאח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26564298;28096675;5878682;25824863;27960491;27513376;27272576;21476990;5588206;26642471;27193819;26845105;26902298;24140940;20212442</vt:lpwstr>
  </property>
  <property fmtid="{D5CDD505-2E9C-101B-9397-08002B2CF9AE}" pid="9" name="CITY">
    <vt:lpwstr>ת"א</vt:lpwstr>
  </property>
  <property fmtid="{D5CDD505-2E9C-101B-9397-08002B2CF9AE}" pid="10" name="DATE">
    <vt:lpwstr>20220811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בני שגיא</vt:lpwstr>
  </property>
  <property fmtid="{D5CDD505-2E9C-101B-9397-08002B2CF9AE}" pid="14" name="LAWLISTTMP1">
    <vt:lpwstr>70301/329.a.1;144.a;407.b</vt:lpwstr>
  </property>
  <property fmtid="{D5CDD505-2E9C-101B-9397-08002B2CF9AE}" pid="15" name="LAWYER">
    <vt:lpwstr>אורי גולדשטיין;מחמוד נעאמנה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58773</vt:lpwstr>
  </property>
  <property fmtid="{D5CDD505-2E9C-101B-9397-08002B2CF9AE}" pid="22" name="NEWPARTB">
    <vt:lpwstr>08</vt:lpwstr>
  </property>
  <property fmtid="{D5CDD505-2E9C-101B-9397-08002B2CF9AE}" pid="23" name="NEWPARTC">
    <vt:lpwstr>21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390020220811</vt:lpwstr>
  </property>
  <property fmtid="{D5CDD505-2E9C-101B-9397-08002B2CF9AE}" pid="34" name="TYPE_N_DATE">
    <vt:lpwstr>39020220811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