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58774-07-22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ברייה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אוסמה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ברייה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חכרוש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 w:eastAsia="Calibri"/>
          <w:rtl w:val="true"/>
        </w:rPr>
        <w:t>הנאשם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הבאות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לפי </w:t>
      </w:r>
      <w:hyperlink r:id="rId12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</w:t>
      </w:r>
      <w:r>
        <w:rPr>
          <w:rFonts w:eastAsia="Calibri" w:cs="David" w:ascii="David" w:hAnsi="David"/>
          <w:rtl w:val="true"/>
        </w:rPr>
        <w:t>+</w:t>
      </w:r>
      <w:hyperlink r:id="rId13"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רישא וסיפא ל</w:t>
      </w:r>
      <w:hyperlink r:id="rId1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"); </w:t>
      </w:r>
      <w:r>
        <w:rPr>
          <w:rFonts w:ascii="David" w:hAnsi="David" w:eastAsia="Calibri"/>
          <w:rtl w:val="true"/>
        </w:rPr>
        <w:t>חבלה חמורה בנסיבות מחמירות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סעיף </w:t>
      </w:r>
      <w:hyperlink r:id="rId15">
        <w:r>
          <w:rPr>
            <w:rStyle w:val="Hyperlink"/>
            <w:rFonts w:eastAsia="Calibri" w:cs="David" w:ascii="David" w:hAnsi="David"/>
          </w:rPr>
          <w:t>333</w:t>
        </w:r>
      </w:hyperlink>
      <w:r>
        <w:rPr>
          <w:rFonts w:eastAsia="Calibri" w:cs="David" w:ascii="David" w:hAnsi="David"/>
          <w:rtl w:val="true"/>
        </w:rPr>
        <w:t xml:space="preserve">+ </w:t>
      </w:r>
      <w:hyperlink r:id="rId16">
        <w:r>
          <w:rPr>
            <w:rStyle w:val="Hyperlink"/>
            <w:rFonts w:eastAsia="Calibri" w:cs="David" w:ascii="David" w:hAnsi="David"/>
          </w:rPr>
          <w:t>335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1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תקיפה סתם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17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379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חבלה במזיד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18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413</w:t>
        </w:r>
        <w:r>
          <w:rPr>
            <w:rStyle w:val="Hyperlink"/>
            <w:rFonts w:ascii="David" w:hAnsi="David" w:eastAsia="Calibri"/>
            <w:rtl w:val="true"/>
          </w:rPr>
          <w:t>ה</w:t>
        </w:r>
      </w:hyperlink>
      <w:r>
        <w:rPr>
          <w:rFonts w:ascii="David" w:hAnsi="David" w:eastAsia="Calibri"/>
          <w:rtl w:val="true"/>
        </w:rPr>
        <w:t xml:space="preserve"> לחוק העונשין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איומים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19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192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לחוק העונשין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שתי עבירות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והפרעה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עבירה לפי </w:t>
      </w:r>
      <w:hyperlink r:id="rId20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275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הודאת הנאשם ניתנה לאחר שכתב האישום תוקן במסגרת הסדר הטיעון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לא כלל הסכמה עונשית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כי לעניין זה יעלה כל צד את טענותיו באופן חופשי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נאמר כי הנאשם מתגורר בבית אביו בכניסה לכפר פרדיס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אסמעיל עבדאללה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יליד </w:t>
      </w:r>
      <w:r>
        <w:rPr>
          <w:rFonts w:eastAsia="Calibri" w:cs="David" w:ascii="David" w:hAnsi="David"/>
        </w:rPr>
        <w:t>1959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המתלונן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מתגורר אף הוא בכפר פרדיס והוכר על ידי המוסד לביטוח לאומי כנכה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2.7.2022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10:30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נהג הנאשם ברכב מסוג מזדה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הרכב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ברחוב צר במרכזו של הכפר פרדיס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כשלפניו נהג המתלונן בקלנועית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שהיא כלי 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עשה שימוש בצופר הרכב על מנת לסמן למתלונן לפנות את הדרך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ומשלא היה ביכולתו של המתלונן לעשות 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פגע הנאשם באמצעות הרכב במזיד בדופן השמאלית של הקלנועית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עצר המתלונן את הקלנועית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ניגש לנאשם ובין השניים התנהל דין ודברים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במהלכו קילל הנאשם את המתלונן ואיים עליו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באומרו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אני ארביץ לך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בהמשך התיישב המתלונן חזרה בקלנועית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עלה לרכבו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 לאחור מספר מטרים ומיד נסע קדימה ופגע שוב בקלנועית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יצא הנאשם מהרכב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ניגש למתלונן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שהספיק לרדת מהקלנועית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ותקף אותו שלא כדין בכך שדחף אותו בחוזקה באמצעות שתי ידיו בחזה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הפיל אותו ארצה ואיים עליו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באומרו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אני אזיין אותך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אהרוג אותך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המתלונן התחיל לבכות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קם על רגליו וחבט פעמיים בשמשת הרכב הקדמית באמצעות מקל הליכה שהיה איתו ושבר אותה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עלה לרכב ונסע מהמקום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אברהים עבדאללה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אברהים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>בנו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שידע על התקיפה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אל מקום התקיפה כשהוא נוהג ברכבו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ומשהבחין בנאשם עוזב את המקום ברכב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נסע אחריו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נעצר עם הרכב סמוך לבית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ירד מהרכב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דיבר עם אביו ואחיו עומר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עומר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>ועלה לבית בריצה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אברהים חנה מאחורי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יצא מרכבו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ניגש אל עומר ובין השניים התנהל דין ודברים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11:00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לערך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יצא הנאשם מהבית כשהוא מחזיק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נושא ומוביל אקדח 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טעון במחסנית תואמת שהכילה כדורים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רשות על פי דין להחזקתם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לנשיאתם ולהובלתם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שהחזיק את האקדח ביד ימין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ניגש אל אברהים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הצמיד את האקדח לחזהו ואיים עליו בכוונה להפחידו או להקניטו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באומרו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אני רוצה לראות את הבן זונה שמדבר פה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אני מוריד אותך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עומר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שעמד סמוך לנאשם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אחז בידו הימנית של הנאשם והוריד אותה כלפי מטה על מנת למנוע ממנו לירות וכדי להניא אותו ממעשיו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או אז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ירה הנאשם ארבעה כדורים שפגעו בפלג גופו התחתון של אברהים ונמלט עם האקדח מהמקום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בהמשך למתואר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7.7.2022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נעצר הנאשם על ידי המשטרה בבית גיסו בעיר טייבה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מתחבא מעל תקרת גבס בחדר פנימי בבית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 עשה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בכוונה להפריע לשוטרים כשהם ממלאים תפקידם כחוק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כתוצאה מתקיפתו של המתלונן בידי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נגרמו למתלונן לחץ בחזה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כאב גב וכאב לאורך הרגליים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והוא אושפז בבית החולים מיום </w:t>
      </w:r>
      <w:r>
        <w:rPr>
          <w:rFonts w:eastAsia="Calibri" w:cs="David" w:ascii="David" w:hAnsi="David"/>
        </w:rPr>
        <w:t>2.7.2022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3.7.2022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כתוצאה מהירי של הנאשם על אברהים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נגרמו לאברהים ארבעה פצעי ירי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שני פצעים אחוריים בירך שמאל ושני פצעי ירי דורסליים שטחיים מעט מדממים בשוק שמאל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שני פצעים מקורבים ליטראליים ופצע אחורי נוסף עם מעט ריטוש עורי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אברהים אושפז בבית החולים מיום </w:t>
      </w:r>
      <w:r>
        <w:rPr>
          <w:rFonts w:eastAsia="Calibri" w:cs="David" w:ascii="David" w:hAnsi="David"/>
        </w:rPr>
        <w:t>2.7.2022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4.7.2022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נגרמו לקלנועית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כתוצאה ממעשיו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שפשוף צבע בדופן שמאל ופגיעה קלה בחלק האחורי בארגז הקלנועית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הראיות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במסגרת ראיותיה לעונש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הציגה המאשימה את גיליון רישומו הפלילי של הנאשם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ממנו עולה כי לחובתו שתי הרשעות קודמות משנת 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שעניינן מספר רב של עבירות רכוש והרשעה בעבירה של הפרת הוראה חוקית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כמו כן הוגש גיליון רישומו התעבורתי של הנאשם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מטעם ההגנה הוגש הסכם סולחה שנערך ביום </w:t>
      </w:r>
      <w:r>
        <w:rPr>
          <w:rFonts w:eastAsia="Calibri" w:cs="David" w:ascii="David" w:hAnsi="David"/>
        </w:rPr>
        <w:t>2.12.2022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בין משפחת הנאשם למשפחת המתלונן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נע</w:t>
      </w:r>
      <w:r>
        <w:rPr>
          <w:rFonts w:eastAsia="Calibri" w:cs="David" w:ascii="David" w:hAnsi="David"/>
          <w:rtl w:val="true"/>
        </w:rPr>
        <w:t>/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בהסכם נאמר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משפחת הנאשם הסכימה לשלם לנפגעי העבירה פיצוי בסך </w:t>
      </w:r>
      <w:r>
        <w:rPr>
          <w:rFonts w:eastAsia="Calibri" w:cs="David" w:ascii="David" w:hAnsi="David"/>
        </w:rPr>
        <w:t>50,000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וכי שני הצדדים יפעלו לקיים ביניהם יחסים של שלווה וכבוד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 xml:space="preserve">טיעוני הצדדים לעונש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בטיעוניה לעונש הפנתה המאשימה לכך שבמעשיו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פגע הנאשם בשלומם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בריאותם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שלוות חייהם וביטחונם של המתלונן ובנו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כמו גם ברכושו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קלנועית שמשמשת לו כרגליים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הפריע הנאשם לעבודת השוטרים ובכך פגע בשלטון החוק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לטענת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בשני אירועים חמורים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באירוע הראשון איים הנאשם על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דחף אותו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הפילו לרצפה והסב לו חבלות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שהוא פוגע בקלנועית במזיד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באירוע השני הסלים הנאשם את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ירה לעבר בנו של המתלונן ארבעה כדורים ברגליים וגרם לו חבלה חמורה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המאשימה ציינה כי העבירות מושא האירוע הראשון אינן מצויות לכאורה ברף חומרה גבוה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כשיורדים לרזולוציה גבוהה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מגלים כי מדובר במעשה חמור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במהלכו תקף הנאשם אדם נכה כבן </w:t>
      </w:r>
      <w:r>
        <w:rPr>
          <w:rFonts w:eastAsia="Calibri" w:cs="David" w:ascii="David" w:hAnsi="David"/>
        </w:rPr>
        <w:t>63-64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לאחר שפגע עם רכבו מספר פעמים בקלנועית ששימשה אותו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הפיל אותו לרצפה והותיר אותו במקום כשהוא בוכה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בגדר האירוע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ירה הנאשם בבנו של המתלונן והסב לו חבלות חמורות כמפורט בכתב האישום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נוכח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לקבוע שלושה מתחמי ענישה נפרדים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בגין האירוע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שהתרחש כנגד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לקבוע מתחם שנע בין שנה לשנתיים מאסר לריצוי בפועל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בנוגע לאישום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הכולל את השימוש בנשק 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ביקשה המאשימה לקבוע מתחם הנע בין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ואילו לגבי האירוע האחרון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שהוא 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ביקשה לקבוע מתחם שנע בין מאסר מותנה ועד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לטענת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במעשים שהופנו כלפי מתלוננים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ואשר נעשו בזירות שונות והתרחשו באופנים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שיש לקבוע מתחמים נפרדים לכל אחד מהם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בגדר הנסיבות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המאשימה לכך שלחובתו של הנאשם שתי הרשעות קודמות וכי מדובר במי שהודה ונטל אחריות על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לגזור את עונשו של הנאשם ברף הבינוני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נמוך של המתחמים להם עתרה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צבירת המתחמים האחד לשני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ולו באופן חלקי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להטיל על הנאשם עונשים נלווים בדמות מאסר מותנה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פיצוי וקנס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נוכח השימוש ברכב לצורך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לפחות כנגד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המאשימה לפסול את הנאשם מלהחזיק ברישיון נהיגה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טען כי מבלי להקל ראש בחומרת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לזכור כי מדובר בנאשם צעיר בן </w:t>
      </w: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אשר לקח אחריות מלאה ומיידית על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על אף שמדובר באירוע 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שבפועל לא נגרם נזק חמור למי מהמעורבים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לאברהים לא נותרה נכות צמיתה או מום שיש בו כדי להשפיע בעתיד על מצבו הרפואי או התפקודי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הנאשם מבין את הפסול במעשיו ולא בכדי נערך הסכם סולחה בין שתי המשפחות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לנסיבות ביצוע עבירת הירי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כי לא מדובר באירוע מתוכנן מראש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במעשה ספונטני שהתגלגל והסלים עד לכדי 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הסנגור הדגיש כי מדובר בירי שבוצע לעבר פלג גופו התחתון של אברהים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שתוצאתו היא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אפסית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שהפנה לפסיקה רלוונטית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המלמדת על מדיניות ענישה מקלה מזו שעליה הצביעה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ביקש הסנגור לקבוע מתחם ענישה שנע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ולגזור את עונשו של הנאשם בתחתית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גילו הצעיר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לקיחת האחריות מצדו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והסכם הסולחה שנערך בין המשפחות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במסגרתו שולם למתלונן ולבנו פיצוי משמעותי בסך </w:t>
      </w:r>
      <w:r>
        <w:rPr>
          <w:rFonts w:eastAsia="Calibri" w:cs="David" w:ascii="David" w:hAnsi="David"/>
        </w:rPr>
        <w:t>50,000</w:t>
      </w:r>
      <w:r>
        <w:rPr>
          <w:rFonts w:eastAsia="Calibri" w:cs="David" w:ascii="David" w:hAnsi="David"/>
          <w:rtl w:val="true"/>
        </w:rPr>
        <w:t xml:space="preserve"> ₪.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בדברו האחרון אמר הנאשם כי הוא לוקח אחריות על מעשיו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אין בידי לקבל את עמדת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לפיה מדובר במספר אירועים המחייבים קביעת מתחמי ענישה נפרדים לכל אחד מהם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המבחן שנקבע בפסיקה לעניין זה קובע כי יראו במספר עבירות אירוע עברייני אחד כאשר מתקיים ביניהן קשר ענייני הדוק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עד כדי שיש לראות בהן אירוע אחד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בבואו להידרש לסוגיה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ייתן בית המשפט את דעתו לנסיבות העובדתיות הרלוונטיות לעבירות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 זאת לשאלה באם ניתן להצביע על שיטתיות בביצוען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האם מדובר בעבירות שהתרחשו בסמיכות של זמן או 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האם מדובר בעבירות שנעשו כלפי אותם קורבנות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האם ביצועה של עבירה אחת נועד לאפשר את ביצועה של העבירה האחרת וכיוצא באלה נסיבות עובדתיות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בנדון</w:t>
      </w:r>
      <w:r>
        <w:rPr>
          <w:rFonts w:eastAsia="Calibri" w:cs="David" w:ascii="David" w:hAnsi="David"/>
          <w:rtl w:val="true"/>
        </w:rPr>
        <w:t xml:space="preserve">: </w:t>
      </w:r>
      <w:hyperlink r:id="rId2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2240/21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שמואל חיים שחר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8.11.2021</w:t>
      </w:r>
      <w:r>
        <w:rPr>
          <w:rFonts w:eastAsia="Calibri" w:cs="David" w:ascii="David" w:hAnsi="David"/>
          <w:rtl w:val="true"/>
        </w:rPr>
        <w:t>)).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באירוע שהלך והסלים והתרחש כולו באותו מועד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כלפי מתלוננים שהם אב ובנו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המעשה העברייני החל כאשר פגע הנאשם בקלנועית של המתלונן ולאחר מכן תקף אותו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המשיך בכך שירה ארבעה כדורים לעבר בנו והסב לו חבלה חמורה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לטעמי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חלוקת מעשיו של הנאשם לכמה אירועים תהיה מלאכותית ומאולצת בנסיבות העניין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העבירה של הפרעה לשוטר במילוי תפקידו נעשתה אמנם בחלוף מספר ימים מהעבירות שנעשו כלפי המתלונן ובנו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והתרחשה בזירה אחרת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בבית גיסו של הנאשם בעיר טייבה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בעבירה שהיא המשך ישיר של המעשים שקדמו לה ונועדה לאפשר לנאשם להימלט מרשויות האכיפה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בגין אותם מעשים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לראות בכלל העבירות כמקימות אירוע עברייני אחד שבגינו יש לקבוע מתחם ענישה כולל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המוגנים שנפגעו מביצוע העבירות בענייננו הם בראש ובראשונה הערך הנעלה של קדושת החיים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ביטחונו ושלמות גופו ורכושו של אדם ושל הציבור בכללותו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נפגע הערך המוגן של שמירה על שלטון החוק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בפסיקה עקבית שניתנה במהלך השנים האחרונות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חזר בית המשפט העליון והדגיש פעם אחר פעם את חומרתן היתרה של העבירות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המכלות כל חלקה טובה בחברה ומחייבות על כן החמרה בענישה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החמרה זו מתחייבת נוכח ממדיה של תופעת השימוש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הגובה מחיר כבד מנשוא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מתחילת שנה זו ועד היום עומד מניינם של הנרצחים בחברה הערבית על </w:t>
      </w:r>
      <w:r>
        <w:rPr>
          <w:rFonts w:eastAsia="Calibri" w:cs="David" w:ascii="David" w:hAnsi="David"/>
        </w:rPr>
        <w:t>73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קורבנות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במספרים שהדעת והלב אינם סובלים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הקלות הבלתי נסבלת של שליפת כלי נשק חם וביצוע ירי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פגיעה בחפים מפשע ובמקרים רבים גדיעת חייהם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מחייבת נקיטת יד קשה והחמרה בענישתם של אלה המורשעים בעבירות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זוהי תרומתו של בית המשפט למלחמה בתופעה מכוערת וקשה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שממיטה אסון על החברה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בית המשפט העליון נדרש לפני ימים אחדים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פעם נוספת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למדיניות ההחמרה המתחייבת בענישה לגבי עבירות בנשק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2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2165/23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פלאח בלאל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04.05.2023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נקבע</w:t>
      </w:r>
      <w:r>
        <w:rPr>
          <w:rFonts w:eastAsia="Calibri" w:cs="David" w:ascii="David" w:hAnsi="David"/>
          <w:rtl w:val="true"/>
        </w:rPr>
        <w:t xml:space="preserve">: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על חומרתן הרבה של עבירות הנשק עמד בית משפט זה פעם אחר פעם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עבירות אלו הפכו זה מכבר 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בחברה הישראלית </w:t>
      </w:r>
      <w:r>
        <w:rPr>
          <w:rFonts w:eastAsia="Calibri" w:cs="David" w:ascii="David" w:hAnsi="David"/>
          <w:rtl w:val="true"/>
        </w:rPr>
        <w:t>(</w:t>
      </w:r>
      <w:hyperlink r:id="rId2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סובח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5.11.2019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הן מסכנות את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גם בהיותן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קרקע פורייה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לביצוע עבירות אחרות – החל מעבירות איומים וכלה בעבירות המתה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ובשל יכולתן לגרום לפגיעות בגוף ובנפש </w:t>
      </w:r>
      <w:r>
        <w:rPr>
          <w:rFonts w:eastAsia="Calibri" w:cs="David" w:ascii="David" w:hAnsi="David"/>
          <w:rtl w:val="true"/>
        </w:rPr>
        <w:t>(</w:t>
      </w:r>
      <w:hyperlink r:id="rId2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2283/22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אל נבארי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לחוות דעתו של חברי השופט 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כבוב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31.7.2022</w:t>
      </w:r>
      <w:r>
        <w:rPr>
          <w:rFonts w:eastAsia="Calibri" w:cs="David" w:ascii="David" w:hAnsi="David"/>
          <w:rtl w:val="true"/>
        </w:rPr>
        <w:t xml:space="preserve">); </w:t>
      </w:r>
      <w:hyperlink r:id="rId2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3728/22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מסאלחה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9.8.2022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נוכח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הודגש לא אחת כי יש לנקוט במדיניות ענישה ממשית ומשמעותית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ניתן מעמד בכורה מבין שיקולי הענישה לשיקולי הרתעת היחיד והרבים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שמשמעותה הרחקת עברייני הנשק מהחברה לפרק זמן 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על ידי השמתם מאחורי סורג ובריח </w:t>
      </w:r>
      <w:r>
        <w:rPr>
          <w:rFonts w:eastAsia="Calibri" w:cs="David" w:ascii="David" w:hAnsi="David"/>
          <w:rtl w:val="true"/>
        </w:rPr>
        <w:t>(</w:t>
      </w:r>
      <w:hyperlink r:id="rId2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2880/23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עיסא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25.4.2023</w:t>
      </w:r>
      <w:r>
        <w:rPr>
          <w:rFonts w:eastAsia="Calibri" w:cs="David" w:ascii="David" w:hAnsi="David"/>
          <w:rtl w:val="true"/>
        </w:rPr>
        <w:t xml:space="preserve">); 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8900/21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מחאג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נה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14.8.2022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כן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עונש מאסר בפועל לתקופה של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בגין עבירות הקשורות לנשק התקפי הוא ברף הנמוך של הענישה הראויה </w:t>
      </w:r>
      <w:r>
        <w:rPr>
          <w:rFonts w:eastAsia="Calibri" w:cs="David" w:ascii="David" w:hAnsi="David"/>
          <w:rtl w:val="true"/>
        </w:rPr>
        <w:t>(</w:t>
      </w: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וכפי שקבעתי בעבר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המסר העונשי הנגזר ממדיניות הענישה האמורה הוא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נפשו ושלומו – ירחק מעבירות הנשק באשר 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קלות כחמורות</w:t>
      </w:r>
      <w:r>
        <w:rPr>
          <w:rFonts w:eastAsia="Calibri" w:cs="David" w:ascii="David" w:hAnsi="David"/>
          <w:rtl w:val="true"/>
        </w:rPr>
        <w:t>" (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78/21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26.7.2022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זאת ועוד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מדיניות הענישה המחמירה חלה על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כל חוליית השרשרת העבריינית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החל ממי שסוחר בנשק לא חוקי או רכיביו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ועד למי שנוטל אותו לידו ועושה בו שימוש לא חוקי </w:t>
      </w:r>
      <w:r>
        <w:rPr>
          <w:rFonts w:eastAsia="Calibri" w:cs="David" w:ascii="David" w:hAnsi="David"/>
          <w:rtl w:val="true"/>
        </w:rPr>
        <w:t>(</w:t>
      </w:r>
      <w:hyperlink r:id="rId3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אבו עבסה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23.1.2022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>."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firstLine="720" w:end="0"/>
        <w:jc w:val="both"/>
        <w:rPr>
          <w:rFonts w:ascii="David" w:hAnsi="David" w:eastAsia="Calibri" w:cs="David"/>
          <w:color w:val="000000"/>
        </w:rPr>
      </w:pPr>
      <w:r>
        <w:rPr>
          <w:rFonts w:ascii="David" w:hAnsi="David" w:eastAsia="Calibri"/>
          <w:color w:val="000000"/>
          <w:rtl w:val="true"/>
        </w:rPr>
        <w:t>ב</w:t>
      </w:r>
      <w:hyperlink r:id="rId3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4456/21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אבו עבסה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23.01.2022</w:t>
      </w:r>
      <w:r>
        <w:rPr>
          <w:rFonts w:eastAsia="Calibri" w:cs="David" w:ascii="David" w:hAnsi="David"/>
          <w:color w:val="000000"/>
          <w:rtl w:val="true"/>
        </w:rPr>
        <w:t xml:space="preserve">) </w:t>
      </w:r>
      <w:r>
        <w:rPr>
          <w:rFonts w:ascii="David" w:hAnsi="David" w:eastAsia="Calibri"/>
          <w:color w:val="000000"/>
          <w:rtl w:val="true"/>
        </w:rPr>
        <w:t>נאמר כי</w:t>
      </w:r>
      <w:r>
        <w:rPr>
          <w:rFonts w:eastAsia="Calibri" w:cs="David" w:ascii="David" w:hAnsi="David"/>
          <w:color w:val="000000"/>
          <w:rtl w:val="true"/>
        </w:rPr>
        <w:t>:</w:t>
      </w:r>
    </w:p>
    <w:p>
      <w:pPr>
        <w:pStyle w:val="Normal"/>
        <w:shd w:fill="FFFFFF" w:val="clear"/>
        <w:tabs>
          <w:tab w:val="clear" w:pos="720"/>
          <w:tab w:val="left" w:pos="567" w:leader="none"/>
          <w:tab w:val="left" w:pos="1134" w:leader="none"/>
          <w:tab w:val="left" w:pos="1701" w:leader="none"/>
        </w:tabs>
        <w:overflowPunct w:val="false"/>
        <w:autoSpaceDE w:val="false"/>
        <w:spacing w:lineRule="auto" w:line="360"/>
        <w:ind w:end="0"/>
        <w:jc w:val="both"/>
        <w:rPr>
          <w:rFonts w:ascii="Calibri" w:hAnsi="Calibri" w:eastAsia="Calibri" w:cs="Arial TUR;Arial"/>
          <w:color w:val="000000"/>
          <w:spacing w:val="10"/>
          <w:sz w:val="27"/>
          <w:szCs w:val="27"/>
        </w:rPr>
      </w:pPr>
      <w:r>
        <w:rPr>
          <w:rFonts w:eastAsia="Calibri" w:cs="Arial TUR;Arial" w:ascii="Calibri" w:hAnsi="Calibri"/>
          <w:color w:val="000000"/>
          <w:spacing w:val="10"/>
          <w:sz w:val="27"/>
          <w:szCs w:val="27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רבות דובר ונכתב על השימוש הנרחב שנעשה בחברה בישראל בכלל ובמגזר הערבי בפרט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בנשק בלתי חוקי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ופגיעה ממשית בביטחונם האישי וברווחתם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לא פעם עמד בית משפט זה על הצורך בענישה מרתיעה ומחמירה על מנת למגר תופעה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וכפי שקבעתי במקרה אחר</w:t>
      </w:r>
      <w:r>
        <w:rPr>
          <w:rFonts w:eastAsia="Calibri" w:cs="Calibri" w:ascii="Calibri" w:hAnsi="Calibri"/>
          <w:rtl w:val="true"/>
        </w:rPr>
        <w:t xml:space="preserve">: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1814" w:end="181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  <w:t>'</w:t>
      </w:r>
      <w:r>
        <w:rPr>
          <w:rFonts w:ascii="Calibri" w:hAnsi="Calibri" w:eastAsia="Calibri" w:cs="Calibri"/>
          <w:rtl w:val="true"/>
        </w:rPr>
        <w:t>השימוש בנשק חם ככלי ליישוב סכסוכים הפך לרעה חולה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בשנים האחרונות אף חלה עליה מתמדת במספר אירועי הירי המדווחים למשטרה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 למשל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ascii="Calibri" w:hAnsi="Calibri" w:eastAsia="Calibri" w:cs="Calibri"/>
          <w:rtl w:val="true"/>
        </w:rPr>
        <w:t>דו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ח מבקר המדינה התמודדות משטרת ישראל עם החזקת אמצעי לחימה לא חוקיים ואירועי ירי ביישובי החברה הערבית וביישובים מ</w:t>
      </w:r>
      <w:r>
        <w:rPr>
          <w:rFonts w:ascii="David" w:hAnsi="David" w:eastAsia="Calibri"/>
          <w:rtl w:val="true"/>
        </w:rPr>
        <w:t xml:space="preserve">עורבים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2018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Calibri" w:hAnsi="Calibri" w:eastAsia="Calibri" w:cs="Calibri"/>
          <w:rtl w:val="true"/>
        </w:rPr>
        <w:t>על רקע המציאות אותה אנו חווים למרבה הצער מדי 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eastAsia="Calibri" w:cs="Calibri" w:ascii="Calibri" w:hAnsi="Calibri"/>
          <w:rtl w:val="true"/>
        </w:rPr>
        <w:t xml:space="preserve">...'.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1814" w:end="1814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ab/>
        <w:tab/>
      </w:r>
      <w:r>
        <w:rPr>
          <w:rFonts w:eastAsia="Calibri" w:cs="Calibri" w:ascii="Calibri" w:hAnsi="Calibri"/>
          <w:rtl w:val="true"/>
        </w:rPr>
        <w:t xml:space="preserve">       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/>
      </w:pPr>
      <w:r>
        <w:rPr>
          <w:rFonts w:ascii="Calibri" w:hAnsi="Calibri" w:eastAsia="Calibri" w:cs="Calibri"/>
          <w:rtl w:val="true"/>
        </w:rPr>
        <w:t>בהתאם לזאת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וכחלק מתפקידו של בית המשפט בביעורן של תופעות קשות אלו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קיימת חשיבות של ממש להטלת ענישה הולמת ומרתיעה על כל חוליות השרשרת העבריינית – החל מיצרני או מבריחי הנשק הבלתי חוקי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דרך הסוחרים בו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ועד לאלו הנוטלים אותו לידם ועושים בו שימוש בלתי חוקי</w:t>
      </w:r>
      <w:r>
        <w:rPr>
          <w:rFonts w:eastAsia="Calibri" w:cs="David" w:ascii="David" w:hAnsi="David"/>
          <w:rtl w:val="true"/>
        </w:rPr>
        <w:t>."</w:t>
      </w: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על מגמת ההחמרה ביחס לעבירות בנשק ניתן גם ללמוד מהתיקון ל</w:t>
      </w:r>
      <w:hyperlink r:id="rId3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שנכנס לתוקפו ביום </w:t>
      </w:r>
      <w:r>
        <w:rPr>
          <w:rFonts w:eastAsia="Calibri" w:cs="David" w:ascii="David" w:hAnsi="David"/>
        </w:rPr>
        <w:t>8.12.2021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ונועד להחמיר בענישה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אגב קביעת עונשי מינימום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ובכללן רכישה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והובלה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התיקון החמיר את העונש הקבוע בצדה של עבירת הרכישה של כלי נשק משבע שנות מאסר לעשר 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קבע כי בתקופה של שלוש שנים מיום פרסומו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יפחת עונשו של מי שהורשע בעבירות המנויות </w:t>
      </w:r>
      <w:hyperlink r:id="rId33">
        <w:r>
          <w:rPr>
            <w:rStyle w:val="Hyperlink"/>
            <w:rFonts w:ascii="David" w:hAnsi="David" w:eastAsia="Calibri"/>
            <w:rtl w:val="true"/>
          </w:rPr>
          <w:t>בסעיף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יחליט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 להקל בעונשו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נקבע כי עונש מאסר לפי אותו סעיף לא יהא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בהעדר טעמים מיוחדים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כולו על תנאי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בבחינת הנסיבות הקשורות בביצוע העבירות 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אמנם במעשים שלא קדם להם תכנון והם בבחינת אירוע ספונטני שהלך והסלים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בכך כדי להקהות ולו במעט מחומרתם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נהג כלפי המתלונן בבריונות בזויה ומקוממת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שעה שתקף אותו ופגע בקלנועית ששימשה אותו רק על שום שלא עלה בידי המתלונן לפנות לנאשם את הדרך ולאפשר לו לעבור עם רכבו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מדובר בנאשם שהיה במועד האירוע כבן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ואשר הפנה את זעמו ותוקפנותו כלפי אדם נכה בן </w:t>
      </w:r>
      <w:r>
        <w:rPr>
          <w:rFonts w:eastAsia="Calibri" w:cs="David" w:ascii="David" w:hAnsi="David"/>
        </w:rPr>
        <w:t>63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במועד האירוע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תחת לנהוג במתלונן ברגישות ובחמלה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תקף אותו הנאשם בגסות ובקהות לב עד שהפילו ארצה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משלב זה ואילך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מעשיו של הנאשם הלכו והסלימו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עד שנראה כי יצאו מכלל שליטה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אברהים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ששמע על מעשה התקיפה של הנאשם כלפי אביו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אל מקום האירוע והבחין בנאשם עוזב את המקום עם רכבו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אברהים נסע אחר רכבו של הנאשם ומשזה הגיע לביתו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ירד אברהים ודיבר עם אחיו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יצא הנאשם מהבית כשהוא מחזיק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נושא ומוביל אקדח טעון במחסנית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ניגש אל אברהים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הצמיד את האקדח לחזהו ואיים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אחיו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שעמד בסמוך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תפס את ידו של הנאשם שאחזה באקדח והוריד אותה כלפי מטה על מנת להניא את הנאשם ממעשיו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או אז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ירה הנאשם ארבעה כדורים שפגעו בפלג גופו התחתון של אברהים ונמלט עם האקדח מהמקום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בהתנהלות בריונית ומשולחת כל רסן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שנעשתה ללא כל התגרות מצד אברהים והסבה לו פגיעה חמורה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כל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רקע סכסוך של מה בכך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שהחל במתן זכות מעבר בכביש ויכול היה להסתיים חלילה בגדיעת חיים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רק יד המזל הובילה לכך שלא כך הסתיים האירוע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אין מקום להשלים עם מציאות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האלימות והבריונות שולטת במרחב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האירועים בהם היד קלה על ההדק ובשל סכסוך של מה בכך נשלף נשק חם ונעשה בו שימוש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הולכים ומתרבים ומחייבים את רשויות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ובכללם רשות האכיפה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זרועותיה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את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לנקוט בגישה מחמירה על מנת למגר תופעה זו ולהשיב את הביטחון והסדר למרחב הציבורי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עוד בנסיבות הקשורות בביצוע העבירות ראיתי להביא בחשבון את הנזקים שנגרמו למתלונן ובעיקר אלו שנגרמו לבנו אברהים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מכתב האישום עולה כי בעקבות תקיפתו בידי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נגרמו למתלונן לחץ בחזה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כאב גב וכאב לאורך הרגליים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והוא אושפז בבית החולים למשך יממה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לאברהים נגרמו פצעי ירי בשוק וירך שמאל ופצעים נוספים בגינם אושפז משך שלושה ימים בבית החולים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למותר לציין כי פוטנציאל הנזק שעלול היה להיגרם כתוצאה ממעשיו של הנאשם הוא חמור ביותר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תקיפתו של המתלונן והפלתו ארצה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לגילו ולמצבו הבריאותי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עלולים היו להסב לו נזקים חמורים בהרבה מאלו שנגרמו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גם לגבי הירי שכוון לאברהים ופגע בפלג גופו התחתון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די היה בהסטה קלה של ידו של הנאשם על מנת לפגוע באברהים פגיעה חמורה בהרבה ולהעמיד אותו בסכנת חיים של ממש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מדיניות הענישה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רואה להתייחס לשתי העבירות החמורות מבין העבירות בהן הורשע הנאשם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העבירה האחת היא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והעבירה האחרת היא חבלה חמורה בנסיבות מחמירות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בהתייחס לעבירה של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והובלה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נקבע כי מתחם העונש ההולם שראוי לקבוע לגבי נאשם בגיר שהורשע בנשיאה של נשק חם באופן בלתי חוקי במרחב הציבורי 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42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כך לדוגמה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פסק בית המשפט ב</w:t>
      </w:r>
      <w:hyperlink r:id="rId3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14.09.2022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כי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בהמשך לדברים אלה הבהרתי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בפסק הדין שניתן באחרונה בהסכמת חבריי השופטים 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אלרון וי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כשר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הענישה המחמירה והבלתי מתפשרת כאמור צריכה לחול ללא סייגים על כל נאשם בגיר באשר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בטיפולנו בעבירות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נשק</w:t>
      </w:r>
      <w:r>
        <w:rPr>
          <w:rFonts w:eastAsia="Calibri" w:cs="David" w:ascii="David" w:hAnsi="David"/>
          <w:rtl w:val="true"/>
        </w:rPr>
        <w:t xml:space="preserve">] </w:t>
      </w:r>
      <w:r>
        <w:rPr>
          <w:rFonts w:ascii="David" w:hAnsi="David" w:eastAsia="Calibri"/>
          <w:rtl w:val="true"/>
        </w:rPr>
        <w:t>מסוג זה ובמבצעיהן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ועל כן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יעדים עונשיים אלו מוחקים מניה וביה את בקשת העבריין לשיקום </w:t>
      </w:r>
      <w:r>
        <w:rPr>
          <w:rFonts w:eastAsia="Calibri" w:cs="David" w:ascii="David" w:hAnsi="David"/>
          <w:rtl w:val="true"/>
        </w:rPr>
        <w:t xml:space="preserve">[...] </w:t>
      </w:r>
      <w:r>
        <w:rPr>
          <w:rFonts w:ascii="David" w:hAnsi="David" w:eastAsia="Calibri"/>
          <w:rtl w:val="true"/>
        </w:rPr>
        <w:t>גם כאשר מדובר בעבריין צעיר שהסתבך לראשונה בפלילים ובקשתו לשיקום כנה ואף זוכה לתמיכתו של שירות המבחן</w:t>
      </w:r>
      <w:r>
        <w:rPr>
          <w:rFonts w:eastAsia="Calibri" w:cs="David" w:ascii="David" w:hAnsi="David"/>
          <w:rtl w:val="true"/>
        </w:rPr>
        <w:t>" 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hyperlink r:id="rId3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פלוני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(‏</w:t>
      </w:r>
      <w:r>
        <w:rPr>
          <w:rFonts w:eastAsia="Calibri" w:cs="David" w:ascii="David" w:hAnsi="David"/>
        </w:rPr>
        <w:t>28.7.2022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מסיבה פשוטה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בימים קשים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השיקום שבראש מעייננו הוא שיקום המרחב הציבורי המדמם כתוצאה מעבירות נשק בלתי פוסקות והשימוש העברייני בנשק חם</w:t>
      </w:r>
      <w:r>
        <w:rPr>
          <w:rFonts w:eastAsia="Calibri" w:cs="David" w:ascii="David" w:hAnsi="David"/>
          <w:rtl w:val="true"/>
        </w:rPr>
        <w:t>." (</w:t>
      </w:r>
      <w:r>
        <w:rPr>
          <w:rFonts w:ascii="David" w:hAnsi="David" w:eastAsia="Calibri"/>
          <w:rtl w:val="true"/>
        </w:rPr>
        <w:t>שם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בהקשר זה אוסיף ואציין את המובן מאליו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בית משפט שמקל בעונשו של עבריין נשק מכביד על החברה שנאלצת להגן על עצמה –על כל בניה ובנותיה – מעברייני 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>...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כעולה מפסיקתו של בית משפט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u w:val="single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Calibri" w:cs="David" w:ascii="David" w:hAnsi="David"/>
          <w:u w:val="single"/>
        </w:rPr>
        <w:t>30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ל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eastAsia="Calibri" w:cs="David" w:ascii="David" w:hAnsi="David"/>
          <w:u w:val="single"/>
        </w:rPr>
        <w:t>42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 xml:space="preserve">חודשי מאסר בין סורג ובריח </w:t>
      </w:r>
      <w:r>
        <w:rPr>
          <w:rFonts w:eastAsia="Calibri" w:cs="David" w:ascii="David" w:hAnsi="David"/>
          <w:u w:val="single"/>
          <w:rtl w:val="true"/>
        </w:rPr>
        <w:t>(</w:t>
      </w:r>
      <w:r>
        <w:rPr>
          <w:rFonts w:ascii="David" w:hAnsi="David" w:eastAsia="Calibri"/>
          <w:u w:val="single"/>
          <w:rtl w:val="true"/>
        </w:rPr>
        <w:t>לצד עונשים נלווים בדמותם של מאסר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ascii="David" w:hAnsi="David" w:eastAsia="Calibri"/>
          <w:u w:val="single"/>
          <w:rtl w:val="true"/>
        </w:rPr>
        <w:t>על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ascii="David" w:hAnsi="David" w:eastAsia="Calibri"/>
          <w:u w:val="single"/>
          <w:rtl w:val="true"/>
        </w:rPr>
        <w:t>תנאי וקנס</w:t>
      </w:r>
      <w:r>
        <w:rPr>
          <w:rFonts w:eastAsia="Calibri" w:cs="David" w:ascii="David" w:hAnsi="David"/>
          <w:u w:val="single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ראו והשוו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עניין נורי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עניין קואסמה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עניין ביטון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ועניין חלייחל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בפסקה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הווה אומר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באין נסיבות מיוחדות לחומרא או לקולא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יהא זה בהחלט סביר אם בית משפט יטיל על נאשם כאמור עונש של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תקוותי היא כי אמות מידה אלה תנחנה את הערכאות הדיוניות באופן שיטתי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שמדיניות הענישה אשר נקוטה בידינו ביחס לעבירות נשק תיושם כהלכתה ובמלוא עוצמתה</w:t>
      </w:r>
      <w:r>
        <w:rPr>
          <w:rFonts w:eastAsia="Calibri" w:cs="David" w:ascii="David" w:hAnsi="David"/>
          <w:rtl w:val="true"/>
        </w:rPr>
        <w:t>."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ההדגשה אינה במקור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</w:r>
      <w:r>
        <w:rPr>
          <w:rFonts w:ascii="David" w:hAnsi="David" w:eastAsia="Calibri"/>
          <w:rtl w:val="true"/>
        </w:rPr>
        <w:t>ט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hyperlink r:id="rId3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5856/22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טאיע סויטאת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21.03.2023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נדון עניינו של מי שהורשע בעבירות של נשיאה והובלת נשק ותחמושת שלא כדין והפרעה לשוטר במילוי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במערער שנסע עם אדם אחר כשהוא נושא אקדח מסוג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ובו מחסנית ריקה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כאשר הגיע הרכב למחסום משטרתי הנהג עצר את הרכב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המערער יצא מהרכב והחל להימלט מהמקום ובחלוף מרדף 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שבמהלכו השליך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נתפס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המחוזי הרשיע את המערער לאחר ניהול הוכחות וגזר עליו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שהוגש כנגד הכרעת הדין וגזר הדין נדחה על ידי בית המשפט העליון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באשר לעבירה של חבלה חמורה בנסיבות מחמירות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עיון במתחמי הענישה שנקבעו בפסיקה לגבי עבירה זו מלמד כי קיים מנעד רחב של עונשים ומתחמי 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בהתאם לנסיבות ביצוע העבירה ונסיבותיו האישיות של המבצע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: </w:t>
      </w:r>
      <w:hyperlink r:id="rId3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6310/14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פלוני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16.6.15</w:t>
      </w:r>
      <w:r>
        <w:rPr>
          <w:rFonts w:eastAsia="Calibri" w:cs="Calibri" w:ascii="Calibri" w:hAnsi="Calibri"/>
          <w:rtl w:val="true"/>
        </w:rPr>
        <w:t>)</w:t>
      </w:r>
      <w:r>
        <w:rPr>
          <w:rFonts w:eastAsia="Calibri" w:cs="Calibri" w:ascii="Calibri" w:hAnsi="Calibri"/>
          <w:b/>
          <w:bCs/>
          <w:rtl w:val="true"/>
        </w:rPr>
        <w:t xml:space="preserve">; </w:t>
      </w:r>
      <w:hyperlink r:id="rId3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8597/07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זועבי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15.1.08</w:t>
      </w:r>
      <w:r>
        <w:rPr>
          <w:rFonts w:eastAsia="Calibri" w:cs="Calibri" w:ascii="Calibri" w:hAnsi="Calibri"/>
          <w:rtl w:val="true"/>
        </w:rPr>
        <w:t xml:space="preserve">); </w:t>
      </w:r>
      <w:hyperlink r:id="rId4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607/07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סאלם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10.5.07</w:t>
      </w:r>
      <w:r>
        <w:rPr>
          <w:rFonts w:eastAsia="Calibri" w:cs="Calibri" w:ascii="Calibri" w:hAnsi="Calibri"/>
          <w:rtl w:val="true"/>
        </w:rPr>
        <w:t xml:space="preserve">)). </w:t>
      </w:r>
      <w:r>
        <w:rPr>
          <w:rFonts w:ascii="Calibri" w:hAnsi="Calibri" w:eastAsia="Calibri" w:cs="Calibri"/>
          <w:rtl w:val="true"/>
        </w:rPr>
        <w:t>בע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פ </w:t>
      </w:r>
      <w:r>
        <w:rPr>
          <w:rFonts w:eastAsia="Calibri" w:cs="Calibri" w:ascii="Calibri" w:hAnsi="Calibri"/>
        </w:rPr>
        <w:t>9580/15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זדה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23.3.2016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נקבע כי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מטבע הדברים שאירועי אלימות המגולמים בעבירה של </w:t>
      </w:r>
      <w:r>
        <w:rPr>
          <w:rFonts w:eastAsia="Calibri" w:cs="Calibri" w:ascii="Calibri" w:hAnsi="Calibri"/>
          <w:rtl w:val="true"/>
        </w:rPr>
        <w:t>'</w:t>
      </w:r>
      <w:r>
        <w:rPr>
          <w:rFonts w:ascii="Calibri" w:hAnsi="Calibri" w:eastAsia="Calibri" w:cs="Calibri"/>
          <w:rtl w:val="true"/>
        </w:rPr>
        <w:t>חבלה חמורה בנסיבות מחמירות</w:t>
      </w:r>
      <w:r>
        <w:rPr>
          <w:rFonts w:eastAsia="Calibri" w:cs="Calibri" w:ascii="Calibri" w:hAnsi="Calibri"/>
          <w:rtl w:val="true"/>
        </w:rPr>
        <w:t xml:space="preserve">', </w:t>
      </w:r>
      <w:r>
        <w:rPr>
          <w:rFonts w:ascii="Calibri" w:hAnsi="Calibri" w:eastAsia="Calibri" w:cs="Calibri"/>
          <w:rtl w:val="true"/>
        </w:rPr>
        <w:t>שהיא העבירה העיקרית בה הורשע המשיב בענייננו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עשויים להתרחש במגוון רחב מאוד של מצבים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נסיבות ביצוע ורמות חומרה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ואכן הפסיקה בתחום זה כוללת מנעד רחב של רמות ענישה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לצד מקרים של ענישה מקלה הוטלו במקרים אחרים עונשים חמורים של שנות מאסר ארוכות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הכל בהתאם לנסיבות הספציפיות של כל מקרה לגופו</w:t>
      </w:r>
      <w:r>
        <w:rPr>
          <w:rFonts w:eastAsia="Calibri" w:cs="Calibri" w:ascii="Calibri" w:hAnsi="Calibri"/>
          <w:rtl w:val="true"/>
        </w:rPr>
        <w:t xml:space="preserve">... </w:t>
      </w:r>
      <w:r>
        <w:rPr>
          <w:rFonts w:ascii="Calibri" w:hAnsi="Calibri" w:eastAsia="Calibri" w:cs="Calibri"/>
          <w:rtl w:val="true"/>
        </w:rPr>
        <w:t>בקביעת מתחם העונש ההולם ובגזירת הדין בגדרו אין די כמובן בהתייחסות לסעיף העבירה בו הורשע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אלא העיקר הוא בעובדות ובנסיבות האירועים הספציפיים בגינן הורשע הנאשם </w:t>
      </w:r>
      <w:r>
        <w:rPr>
          <w:rFonts w:eastAsia="Calibri" w:cs="Calibri" w:ascii="Calibri" w:hAnsi="Calibri"/>
          <w:rtl w:val="true"/>
        </w:rPr>
        <w:t>(</w:t>
      </w:r>
      <w:hyperlink r:id="rId4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1997/13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פלוני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29.8.2013</w:t>
      </w:r>
      <w:r>
        <w:rPr>
          <w:rFonts w:eastAsia="Calibri" w:cs="Calibri" w:ascii="Calibri" w:hAnsi="Calibri"/>
          <w:rtl w:val="true"/>
        </w:rPr>
        <w:t>))".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4406/19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סובח ואח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5.11.2019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קיבל בית המשפט העליון את ערעור המדינה על קולת העונשים שהושתו על המשיבים ודחה את ערעורם הנגדי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 במי שהורשעו בביצוע עבירות של חבלה חמורה בנסיבות מחמירות ועבירות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רקע סכסוך  בין משפחת המתלוננים למשפחת המשיבים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באותו מקרה ירו המשיבים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 עם אחר לעבר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שעמד ליד 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 רכב שבו נסעו ופגעו בבטנו התחתונה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משיב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 באמצעות אקדח במקום אחר לעבר מתלונן נוסף ופגע בו בירך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 מכן ירה לעבר אנשים אחרים מבלי שפגע בהם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העליון קיבל את ערעור המדינה על קולת העונש וגזר על המשיב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שנות מאסר תחת </w:t>
      </w:r>
      <w:r>
        <w:rPr>
          <w:rFonts w:cs="Calibri" w:ascii="Calibri" w:hAnsi="Calibri"/>
        </w:rPr>
        <w:t>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שנגזרו על ידי בית המשפט המחוזי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 משיב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גזר בית המשפט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שנות מאסר תחת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ועל משיב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3.5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שנות מאסר תחת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שנגזרו עליו בבית המשפט המחוזי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4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1843/19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עמאש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2.10.2019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מדובר במי שהורשע בעבירות של חבלה חמורה בנסיבות מחמירות והחזקה ונשיאה של נשק ונדון על ידי בית המשפט המחוזי לעונש של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באותו מקרה ירה המערער מספר כדורים לעבר אדם איתו היה מסוכסך ופגע בידו של ילד בן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שעמד בסמוך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 המשפט העליון דחה את ערעורו של 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הגם שמדובר במי שאין לחובתו עבר 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1971/19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 חוסין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30.6.2019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מדובר במי שהורשע בעבירות של חבלה חמורה בנסיבות מחמירות ונשיאת נשק והובלתו שלא 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 ירה אל עבר המתלונן מספר 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רקע סכסוך כספי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 בו בירך וגרם לו למספר פגיעות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בית המשפט המחוזי גזר עליו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בפועל ובבית המשפט העליון חזר בו המערער מערעורו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 שבחנתי את הערכים המוגנים שנפגעו מביצוע העבירות בענייננו ונתתי דעתי לנסיבות ביצוען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 שעמדתי על מדיניות הענישה הנוהגת במקרים דומים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אני קובע כי מתחם העונש ההולם נע בין </w:t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 עונשים נלווים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בבואי לגזור את עונשו של הנאשם בתוך המתחם שנקבע לגביו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הבאתי בחשבון את גילו הצעיר ואת הודאתו בעבירות שיוחסו 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הודאה זו מגלמת נטילת אחריות מצדו על מעשיו והביאה בנוסף לחיסכון בזמן שיפוטי יקר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הבאתי בחשבון גם את הרשעותיו הקודמות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כפי שהן נלמדות מגיליון רישומו הפלילי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מע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מדובר אמנם בשתי הרשעות משנת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אחת מהן חובקת מספר רב של עבירות רכוש בהן הורשע 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color w:val="000000"/>
        </w:rPr>
      </w:pPr>
      <w:r>
        <w:rPr>
          <w:rFonts w:eastAsia="Calibri" w:cs="Calibri" w:ascii="Calibri" w:hAnsi="Calibri"/>
          <w:rtl w:val="true"/>
        </w:rPr>
        <w:tab/>
      </w:r>
      <w:r>
        <w:rPr>
          <w:rFonts w:ascii="Calibri" w:hAnsi="Calibri" w:eastAsia="Calibri" w:cs="Calibri"/>
          <w:rtl w:val="true"/>
        </w:rPr>
        <w:t>לא נעלם מעיניי גם הסכם הסולחה שנערך בין משפחת הנאשם למשפחת המתלונן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אלא שלא מצאתי לייחס לו משקל רב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</w:t>
      </w:r>
      <w:hyperlink r:id="rId4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6496/21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ריאן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20.12.2021</w:t>
      </w:r>
      <w:r>
        <w:rPr>
          <w:rFonts w:eastAsia="Calibri" w:cs="David" w:ascii="David" w:hAnsi="David"/>
          <w:color w:val="000000"/>
          <w:rtl w:val="true"/>
        </w:rPr>
        <w:t xml:space="preserve">) </w:t>
      </w:r>
      <w:r>
        <w:rPr>
          <w:rFonts w:ascii="David" w:hAnsi="David" w:eastAsia="Calibri"/>
          <w:color w:val="000000"/>
          <w:rtl w:val="true"/>
        </w:rPr>
        <w:t>עמד בית המשפט בהרחבה על המשקל שיש ליתן להסכמי סולחה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נקבע שם בין היתר כי</w:t>
      </w:r>
      <w:r>
        <w:rPr>
          <w:rFonts w:eastAsia="Calibri" w:cs="David" w:ascii="David" w:hAnsi="David"/>
          <w:color w:val="000000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color w:val="000000"/>
        </w:rPr>
      </w:pPr>
      <w:r>
        <w:rPr>
          <w:rFonts w:eastAsia="Calibri" w:cs="David" w:ascii="David" w:hAnsi="David"/>
          <w:color w:val="000000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start="1418" w:end="1418"/>
        <w:jc w:val="both"/>
        <w:rPr>
          <w:rFonts w:ascii="David" w:hAnsi="David" w:eastAsia="Calibri" w:cs="David"/>
          <w:sz w:val="20"/>
          <w:szCs w:val="20"/>
        </w:rPr>
      </w:pP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במסגרת בחינת משקלה של סולחה מסוימת על בית המשפט ליתן את דעתו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לרקע להסכם הסולחה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משמעות הוראותיו של ההסכם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יציבותו ופערי הכוחות שעמדו מאחורי חתימתו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: </w:t>
      </w:r>
      <w:hyperlink r:id="rId4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7473/20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מדינת ישראל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מחאמיד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29.6.2021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בהינתן שהסולחה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מטבעה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מהווה הסכמה קבוצתית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שעשויה לכלול הפעלת אי אלו לחצים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הרי שיש לראות בה הסכמה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חשודה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על בית המשפט לנסות להתרשם מעמדתם האישית והכנה של הנאשם ונפגעי העבירה הישירים לגביה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Nurit Tsafrir, Arab Customary Law in Israel: Sulha Agreements and Israeli Courts, 13 ISLAM. LAW SOC. 76, 95 (2006)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בהתאם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לבחון שזו לא נכפתה על הצדדים הר כגיגית </w:t>
      </w:r>
      <w:r>
        <w:rPr>
          <w:rFonts w:eastAsia="Calibri" w:cs="David" w:ascii="David" w:hAnsi="David"/>
          <w:rtl w:val="true"/>
        </w:rPr>
        <w:t>(</w:t>
      </w:r>
      <w:hyperlink r:id="rId4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3623/11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פרעוני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פסקה </w:t>
      </w:r>
      <w:r>
        <w:rPr>
          <w:rFonts w:eastAsia="Calibri" w:cs="David" w:ascii="David" w:hAnsi="David"/>
        </w:rPr>
        <w:t>49</w:t>
      </w:r>
      <w:r>
        <w:rPr>
          <w:rFonts w:eastAsia="Calibri" w:cs="David" w:ascii="David" w:hAnsi="David"/>
          <w:rtl w:val="true"/>
        </w:rPr>
        <w:t xml:space="preserve"> 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26.11.2012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ascii="David" w:hAnsi="David" w:eastAsia="Calibri"/>
          <w:rtl w:val="true"/>
        </w:rPr>
        <w:t>ו</w:t>
      </w:r>
      <w:hyperlink r:id="rId4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2127/17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עלוש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28.2.2018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 xml:space="preserve">ראו גם עדנה ארבל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מעמדו של קרבן העבירה בהליך המשפטי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ספר גבריאל בך </w:t>
      </w:r>
      <w:r>
        <w:rPr>
          <w:rFonts w:eastAsia="Calibri" w:cs="David" w:ascii="David" w:hAnsi="David"/>
        </w:rPr>
        <w:t>189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213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eastAsia="Calibri" w:cs="David" w:ascii="David" w:hAnsi="David"/>
        </w:rPr>
        <w:t>2011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וכן אורי ינאי ושאוקי עדווי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מסורות ליישוב קונפליקט פלילי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 xml:space="preserve">מה בין 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סולחה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ובין הליך 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צדק מאחה</w:t>
      </w:r>
      <w:r>
        <w:rPr>
          <w:rFonts w:eastAsia="Calibri" w:cs="David" w:ascii="David" w:hAnsi="David"/>
          <w:rtl w:val="true"/>
        </w:rPr>
        <w:t xml:space="preserve">'" </w:t>
      </w:r>
      <w:r>
        <w:rPr>
          <w:rFonts w:ascii="David" w:hAnsi="David" w:eastAsia="Calibri"/>
          <w:rtl w:val="true"/>
        </w:rPr>
        <w:t xml:space="preserve">מפגיעה לאיחוי – צדק מאחה ושיח מאחה בישראל </w:t>
      </w:r>
      <w:r>
        <w:rPr>
          <w:rFonts w:eastAsia="Calibri" w:cs="David" w:ascii="David" w:hAnsi="David"/>
        </w:rPr>
        <w:t>51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</w:rPr>
        <w:t>71-70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 xml:space="preserve">אורי ינאי וטלי גל עורכים </w:t>
      </w:r>
      <w:r>
        <w:rPr>
          <w:rFonts w:eastAsia="Calibri" w:cs="David" w:ascii="David" w:hAnsi="David"/>
        </w:rPr>
        <w:t>2016</w:t>
      </w:r>
      <w:r>
        <w:rPr>
          <w:rFonts w:eastAsia="Calibri" w:cs="David" w:ascii="David" w:hAnsi="David"/>
          <w:rtl w:val="true"/>
        </w:rPr>
        <w:t xml:space="preserve">)). </w:t>
      </w:r>
      <w:r>
        <w:rPr>
          <w:rFonts w:ascii="David" w:hAnsi="David" w:eastAsia="Calibri"/>
          <w:rtl w:val="true"/>
        </w:rPr>
        <w:t>לצד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וכמשקל נגד להסכמה גופה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ליתן משקל משמעותי לחומרת המעשים שברקע השגת הסולחה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ככל שמדובר במעשים חמורים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הרי שבית המשפט יטה שלא לייחס משמעות משפטית לסולחה כלל </w:t>
      </w:r>
      <w:r>
        <w:rPr>
          <w:rFonts w:eastAsia="Calibri" w:cs="David" w:ascii="David" w:hAnsi="David"/>
          <w:rtl w:val="true"/>
        </w:rPr>
        <w:t>(</w:t>
      </w:r>
      <w:hyperlink r:id="rId4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4131/13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שמארי נ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מדינת ישראל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פורסם בנבו</w:t>
      </w:r>
      <w:r>
        <w:rPr>
          <w:rFonts w:eastAsia="Calibri" w:cs="David" w:ascii="David" w:hAnsi="David"/>
          <w:rtl w:val="true"/>
        </w:rPr>
        <w:t>] (</w:t>
      </w:r>
      <w:r>
        <w:rPr>
          <w:rFonts w:eastAsia="Calibri" w:cs="David" w:ascii="David" w:hAnsi="David"/>
        </w:rPr>
        <w:t>13.3.2014</w:t>
      </w:r>
      <w:r>
        <w:rPr>
          <w:rFonts w:eastAsia="Calibri" w:cs="David" w:ascii="David" w:hAnsi="David"/>
          <w:rtl w:val="true"/>
        </w:rPr>
        <w:t>))".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זאת 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אין בידי לקבל את טענת הסנגור כאילו במסגרת הסכם הסולחה שולמו למתלונן פיצויים בסך 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עיון מדוקדק בנוסח ההסכם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נע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מלמד כי הנאשם ובני משפחתו הסכימו לשלם פיצוי לקורבנות בסכום של 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>מבלי שנאמר שפיצוי זה שולם בפועל ומבלי שנקבע כל מנגנון או מועד לתשלומו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 יסוד מקבץ 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גוזר על הנאשם את העונשים 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60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לריצוי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שמניינם יחל ממועד מעצרו ביום </w:t>
      </w:r>
      <w:r>
        <w:rPr>
          <w:rFonts w:cs="Calibri" w:ascii="Calibri" w:hAnsi="Calibri"/>
        </w:rPr>
        <w:t>7.7.2022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 לבל יעבור משך שלוש שנים כל עבירת אלימות או נשק מסוג פשע ויורשע בגינה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על תנאי לבל יעבור משך שלוש שנים כל עבירת אלימות מסוג עוון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 במזיד ברכב והפרעה לשוטר בשעת מילוי תפקידו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ויורשע בגין אחת מהן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פיצוי למתלונן בסך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 xml:space="preserve">ופיצוי לאברהים בסך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>הפיצויים ישולמו באמצעות המרכז לגביית קנסות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אגרות והוצאות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ויסולקו בשיעורים חודשיים בסך </w:t>
      </w:r>
      <w:r>
        <w:rPr>
          <w:rFonts w:cs="Calibri" w:ascii="Calibri" w:hAnsi="Calibri"/>
        </w:rPr>
        <w:t>2,000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 xml:space="preserve">כל אחד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למתלונן וסכום זהה לבנו אברהים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וזאת החל מיום </w:t>
      </w:r>
      <w:r>
        <w:rPr>
          <w:rFonts w:cs="Calibri" w:ascii="Calibri" w:hAnsi="Calibri"/>
        </w:rPr>
        <w:t>30.6.2023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 חודש עוקב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 שולם אחד התשלומים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במלואו ובמועדו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תעמוד כל היתרה לפירעון מידי בצירוף ריבית פיגורים על פי 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אני פוסל את הנאשם מלהוציא או להחזיק רישיון נהיגה למשך שנתיים ממועד שחרורו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1134" w:start="1134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זכות ערעור לבית המשפט העליון תוך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2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אייר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1276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58774-07-22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אוסמה ברייה</w:t>
    </w:r>
    <w:r>
      <w:rPr>
        <w:rFonts w:cs="David" w:ascii="David" w:hAnsi="David"/>
        <w:color w:val="000000"/>
        <w:sz w:val="22"/>
        <w:szCs w:val="22"/>
        <w:rtl w:val="true"/>
      </w:rPr>
      <w:t>,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413e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79" TargetMode="External"/><Relationship Id="rId18" Type="http://schemas.openxmlformats.org/officeDocument/2006/relationships/hyperlink" Target="http://www.nevo.co.il/law/70301/413e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/275" TargetMode="External"/><Relationship Id="rId21" Type="http://schemas.openxmlformats.org/officeDocument/2006/relationships/hyperlink" Target="http://www.nevo.co.il/case/27513365" TargetMode="External"/><Relationship Id="rId22" Type="http://schemas.openxmlformats.org/officeDocument/2006/relationships/hyperlink" Target="http://www.nevo.co.il/case/29486731" TargetMode="External"/><Relationship Id="rId23" Type="http://schemas.openxmlformats.org/officeDocument/2006/relationships/hyperlink" Target="http://www.nevo.co.il/case/25824863" TargetMode="External"/><Relationship Id="rId24" Type="http://schemas.openxmlformats.org/officeDocument/2006/relationships/hyperlink" Target="http://www.nevo.co.il/case/28452933" TargetMode="External"/><Relationship Id="rId25" Type="http://schemas.openxmlformats.org/officeDocument/2006/relationships/hyperlink" Target="http://www.nevo.co.il/case/28660017" TargetMode="External"/><Relationship Id="rId26" Type="http://schemas.openxmlformats.org/officeDocument/2006/relationships/hyperlink" Target="http://www.nevo.co.il/case/29564821" TargetMode="External"/><Relationship Id="rId27" Type="http://schemas.openxmlformats.org/officeDocument/2006/relationships/hyperlink" Target="http://www.nevo.co.il/case/28207045" TargetMode="External"/><Relationship Id="rId28" Type="http://schemas.openxmlformats.org/officeDocument/2006/relationships/hyperlink" Target="http://www.nevo.co.il/case/28697227" TargetMode="External"/><Relationship Id="rId29" Type="http://schemas.openxmlformats.org/officeDocument/2006/relationships/hyperlink" Target="http://www.nevo.co.il/case/27305799" TargetMode="External"/><Relationship Id="rId30" Type="http://schemas.openxmlformats.org/officeDocument/2006/relationships/hyperlink" Target="http://www.nevo.co.il/case/27734980" TargetMode="External"/><Relationship Id="rId31" Type="http://schemas.openxmlformats.org/officeDocument/2006/relationships/hyperlink" Target="http://www.nevo.co.il/case/27734980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8883087" TargetMode="External"/><Relationship Id="rId36" Type="http://schemas.openxmlformats.org/officeDocument/2006/relationships/hyperlink" Target="http://www.nevo.co.il/case/28697227" TargetMode="External"/><Relationship Id="rId37" Type="http://schemas.openxmlformats.org/officeDocument/2006/relationships/hyperlink" Target="http://www.nevo.co.il/case/28916087" TargetMode="External"/><Relationship Id="rId38" Type="http://schemas.openxmlformats.org/officeDocument/2006/relationships/hyperlink" Target="http://www.nevo.co.il/case/17947529" TargetMode="External"/><Relationship Id="rId39" Type="http://schemas.openxmlformats.org/officeDocument/2006/relationships/hyperlink" Target="http://www.nevo.co.il/case/6133293" TargetMode="External"/><Relationship Id="rId40" Type="http://schemas.openxmlformats.org/officeDocument/2006/relationships/hyperlink" Target="http://www.nevo.co.il/case/5713850" TargetMode="External"/><Relationship Id="rId41" Type="http://schemas.openxmlformats.org/officeDocument/2006/relationships/hyperlink" Target="http://www.nevo.co.il/case/7977312" TargetMode="External"/><Relationship Id="rId42" Type="http://schemas.openxmlformats.org/officeDocument/2006/relationships/hyperlink" Target="http://www.nevo.co.il/case/25824863" TargetMode="External"/><Relationship Id="rId43" Type="http://schemas.openxmlformats.org/officeDocument/2006/relationships/hyperlink" Target="http://www.nevo.co.il/case/25528733" TargetMode="External"/><Relationship Id="rId44" Type="http://schemas.openxmlformats.org/officeDocument/2006/relationships/hyperlink" Target="http://www.nevo.co.il/case/25546727" TargetMode="External"/><Relationship Id="rId45" Type="http://schemas.openxmlformats.org/officeDocument/2006/relationships/hyperlink" Target="http://www.nevo.co.il/case/27933514" TargetMode="External"/><Relationship Id="rId46" Type="http://schemas.openxmlformats.org/officeDocument/2006/relationships/hyperlink" Target="http://www.nevo.co.il/case/27115374" TargetMode="External"/><Relationship Id="rId47" Type="http://schemas.openxmlformats.org/officeDocument/2006/relationships/hyperlink" Target="http://www.nevo.co.il/case/5906202" TargetMode="External"/><Relationship Id="rId48" Type="http://schemas.openxmlformats.org/officeDocument/2006/relationships/hyperlink" Target="http://www.nevo.co.il/case/22301096" TargetMode="External"/><Relationship Id="rId49" Type="http://schemas.openxmlformats.org/officeDocument/2006/relationships/hyperlink" Target="http://www.nevo.co.il/case/7674250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2024-04-07T08:45:00Z</dcterms:created>
  <dc:creator> </dc:creator>
  <dc:description/>
  <cp:keywords/>
  <dc:language>en-IL</dc:language>
  <cp:lastModifiedBy>h1</cp:lastModifiedBy>
  <dcterms:modified xsi:type="dcterms:W3CDTF">2024-04-07T08:45:00Z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אוסמה ברייה,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27513365;29486731;25824863:2;28452933;28660017;29564821;28207045;28697227:2;27305799;27734980:2;28883087;28916087;17947529;6133293;5713850;7977312;25528733;25546727;27933514;27115374;5906202;22301096;7674250</vt:lpwstr>
  </property>
  <property fmtid="{D5CDD505-2E9C-101B-9397-08002B2CF9AE}" pid="9" name="CITY">
    <vt:lpwstr>חי'</vt:lpwstr>
  </property>
  <property fmtid="{D5CDD505-2E9C-101B-9397-08002B2CF9AE}" pid="10" name="DATE">
    <vt:lpwstr>20230518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</vt:lpwstr>
  </property>
  <property fmtid="{D5CDD505-2E9C-101B-9397-08002B2CF9AE}" pid="14" name="LAWLISTTMP1">
    <vt:lpwstr>70301/144.a;144.b;333;335.a.1;379;413e;192;275;144</vt:lpwstr>
  </property>
  <property fmtid="{D5CDD505-2E9C-101B-9397-08002B2CF9AE}" pid="15" name="LAWYER">
    <vt:lpwstr>חאלד חכרוש;פאייז יונס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58774</vt:lpwstr>
  </property>
  <property fmtid="{D5CDD505-2E9C-101B-9397-08002B2CF9AE}" pid="22" name="NEWPARTB">
    <vt:lpwstr>07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390020230518</vt:lpwstr>
  </property>
  <property fmtid="{D5CDD505-2E9C-101B-9397-08002B2CF9AE}" pid="34" name="TYPE_N_DATE">
    <vt:lpwstr>39020230518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