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Header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59033-11-10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חביבה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29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פברואר </w:t>
            </w:r>
            <w:r>
              <w:rPr>
                <w:rFonts w:cs="Arial" w:ascii="Arial" w:hAnsi="Aria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יעל עצמון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אופיר חביבה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בני נהרי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/>
        <w:ind w:hanging="539" w:start="567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Style w:val="normal-h"/>
          <w:rFonts w:ascii="Arial" w:hAnsi="Arial" w:cs="Arial"/>
          <w:rtl w:val="true"/>
        </w:rPr>
        <w:t>הנאשם הורשע בהכרעת דין מנומקת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לאחר שמיעת ראיות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בעבירות שעניינן שוד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התשל</w:t>
      </w:r>
      <w:r>
        <w:rPr>
          <w:rStyle w:val="normal-h"/>
          <w:rFonts w:cs="Arial" w:ascii="Arial" w:hAnsi="Arial"/>
          <w:rtl w:val="true"/>
        </w:rPr>
        <w:t>"</w:t>
      </w:r>
      <w:r>
        <w:rPr>
          <w:rStyle w:val="normal-h"/>
          <w:rFonts w:ascii="Arial" w:hAnsi="Arial" w:cs="Arial"/>
          <w:rtl w:val="true"/>
        </w:rPr>
        <w:t xml:space="preserve">ז – </w:t>
      </w:r>
      <w:r>
        <w:rPr>
          <w:rStyle w:val="normal-h"/>
          <w:rFonts w:cs="Arial" w:ascii="Arial" w:hAnsi="Arial"/>
        </w:rPr>
        <w:t>1977</w:t>
      </w:r>
      <w:r>
        <w:rPr>
          <w:rStyle w:val="normal-h"/>
          <w:rFonts w:cs="Arial" w:ascii="Arial" w:hAnsi="Arial"/>
          <w:rtl w:val="true"/>
        </w:rPr>
        <w:t xml:space="preserve"> (</w:t>
      </w:r>
      <w:r>
        <w:rPr>
          <w:rStyle w:val="normal-h"/>
          <w:rFonts w:ascii="Arial" w:hAnsi="Arial" w:cs="Arial"/>
          <w:rtl w:val="true"/>
        </w:rPr>
        <w:t>להלן</w:t>
      </w:r>
      <w:r>
        <w:rPr>
          <w:rStyle w:val="normal-h"/>
          <w:rFonts w:cs="Arial" w:ascii="Arial" w:hAnsi="Arial"/>
          <w:rtl w:val="true"/>
        </w:rPr>
        <w:t>: "</w:t>
      </w:r>
      <w:r>
        <w:rPr>
          <w:rStyle w:val="normal-h"/>
          <w:rFonts w:ascii="Arial" w:hAnsi="Arial" w:cs="Arial"/>
          <w:b/>
          <w:b/>
          <w:bCs/>
          <w:sz w:val="22"/>
          <w:sz w:val="22"/>
          <w:szCs w:val="22"/>
          <w:rtl w:val="true"/>
        </w:rPr>
        <w:t>החוק</w:t>
      </w:r>
      <w:r>
        <w:rPr>
          <w:rStyle w:val="normal-h"/>
          <w:rFonts w:cs="Arial" w:ascii="Arial" w:hAnsi="Arial"/>
          <w:rtl w:val="true"/>
        </w:rPr>
        <w:t xml:space="preserve">") </w:t>
      </w:r>
      <w:r>
        <w:rPr>
          <w:rStyle w:val="normal-h"/>
          <w:rFonts w:ascii="Arial" w:hAnsi="Arial" w:cs="Arial"/>
          <w:rtl w:val="true"/>
        </w:rPr>
        <w:t xml:space="preserve">בצירוף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לחוק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שימוש ברכב ללא רשות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ג</w:t>
        </w:r>
      </w:hyperlink>
      <w:r>
        <w:rPr>
          <w:rStyle w:val="normal-h"/>
          <w:rFonts w:ascii="Arial" w:hAnsi="Arial" w:cs="Arial"/>
          <w:rtl w:val="true"/>
        </w:rPr>
        <w:t xml:space="preserve"> סיפא בצירוף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לחוק</w:t>
      </w:r>
      <w:bookmarkStart w:id="11" w:name="ABSTRACT_END"/>
      <w:bookmarkEnd w:id="11"/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כמו כן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הורשע הנאשם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על יסוד הודאתו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בעבירות של החזקת נשק שלא כדין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לחוק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החזקת תחמושת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לחוק וכן בעבירה של החזקת סם מסוכן שלא לצריכה עצמית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ו</w:t>
      </w:r>
      <w:r>
        <w:rPr>
          <w:rStyle w:val="normal-h"/>
          <w:rFonts w:cs="Arial" w:ascii="Arial" w:hAnsi="Arial"/>
          <w:rtl w:val="true"/>
        </w:rPr>
        <w:t xml:space="preserve">- </w:t>
      </w:r>
      <w:hyperlink r:id="rId19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רישא ל</w:t>
      </w:r>
      <w:hyperlink r:id="rId20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Style w:val="normal-h"/>
          <w:rFonts w:ascii="Arial" w:hAnsi="Arial" w:cs="Arial"/>
          <w:rtl w:val="true"/>
        </w:rPr>
        <w:t xml:space="preserve"> </w:t>
      </w:r>
      <w:r>
        <w:rPr>
          <w:rStyle w:val="normal-h"/>
          <w:rFonts w:cs="Arial" w:ascii="Arial" w:hAnsi="Arial"/>
          <w:rtl w:val="true"/>
        </w:rPr>
        <w:t>[</w:t>
      </w:r>
      <w:r>
        <w:rPr>
          <w:rStyle w:val="normal-h"/>
          <w:rFonts w:ascii="Arial" w:hAnsi="Arial" w:cs="Arial"/>
          <w:rtl w:val="true"/>
        </w:rPr>
        <w:t>נוסח חדש</w:t>
      </w:r>
      <w:r>
        <w:rPr>
          <w:rStyle w:val="normal-h"/>
          <w:rFonts w:cs="Arial" w:ascii="Arial" w:hAnsi="Arial"/>
          <w:rtl w:val="true"/>
        </w:rPr>
        <w:t xml:space="preserve">], </w:t>
      </w:r>
      <w:r>
        <w:rPr>
          <w:rStyle w:val="normal-h"/>
          <w:rFonts w:ascii="Arial" w:hAnsi="Arial" w:cs="Arial"/>
          <w:rtl w:val="true"/>
        </w:rPr>
        <w:t>התשל</w:t>
      </w:r>
      <w:r>
        <w:rPr>
          <w:rStyle w:val="normal-h"/>
          <w:rFonts w:cs="Arial" w:ascii="Arial" w:hAnsi="Arial"/>
          <w:rtl w:val="true"/>
        </w:rPr>
        <w:t>"</w:t>
      </w:r>
      <w:r>
        <w:rPr>
          <w:rStyle w:val="normal-h"/>
          <w:rFonts w:ascii="Arial" w:hAnsi="Arial" w:cs="Arial"/>
          <w:rtl w:val="true"/>
        </w:rPr>
        <w:t xml:space="preserve">ג – 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העובדות פורטו בהרחבה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תובאנה להלן בקליפת אגוז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39" w:start="567" w:end="0"/>
        <w:jc w:val="both"/>
        <w:rPr>
          <w:rStyle w:val="normal-h"/>
          <w:b/>
          <w:bCs/>
          <w:sz w:val="22"/>
          <w:szCs w:val="22"/>
        </w:rPr>
      </w:pPr>
      <w:r>
        <w:rPr>
          <w:rStyle w:val="normal-h"/>
          <w:rFonts w:ascii="Arial" w:hAnsi="Arial" w:cs="Arial"/>
          <w:rtl w:val="true"/>
        </w:rPr>
        <w:t xml:space="preserve">בתאריך </w:t>
      </w:r>
      <w:r>
        <w:rPr>
          <w:rStyle w:val="normal-h"/>
          <w:rFonts w:cs="Arial" w:ascii="Arial" w:hAnsi="Arial"/>
        </w:rPr>
        <w:t>13.11.09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קבע הנאשם פגישה עם מר יעקב טייב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סוחר רכב </w:t>
      </w:r>
      <w:r>
        <w:rPr>
          <w:rStyle w:val="normal-h"/>
          <w:rFonts w:cs="Arial" w:ascii="Arial" w:hAnsi="Arial"/>
          <w:rtl w:val="true"/>
        </w:rPr>
        <w:t>(</w:t>
      </w:r>
      <w:r>
        <w:rPr>
          <w:rStyle w:val="normal-h"/>
          <w:rFonts w:ascii="Arial" w:hAnsi="Arial" w:cs="Arial"/>
          <w:rtl w:val="true"/>
        </w:rPr>
        <w:t>להלן</w:t>
      </w:r>
      <w:r>
        <w:rPr>
          <w:rStyle w:val="normal-h"/>
          <w:rFonts w:cs="Arial" w:ascii="Arial" w:hAnsi="Arial"/>
          <w:rtl w:val="true"/>
        </w:rPr>
        <w:t>: "</w:t>
      </w:r>
      <w:r>
        <w:rPr>
          <w:rStyle w:val="normal-h"/>
          <w:rFonts w:ascii="Arial" w:hAnsi="Arial" w:cs="Arial"/>
          <w:b/>
          <w:b/>
          <w:bCs/>
          <w:sz w:val="22"/>
          <w:sz w:val="22"/>
          <w:szCs w:val="22"/>
          <w:rtl w:val="true"/>
        </w:rPr>
        <w:t>המתלונן</w:t>
      </w:r>
      <w:r>
        <w:rPr>
          <w:rStyle w:val="normal-h"/>
          <w:rFonts w:cs="Arial" w:ascii="Arial" w:hAnsi="Arial"/>
          <w:rtl w:val="true"/>
        </w:rPr>
        <w:t xml:space="preserve">"), </w:t>
      </w:r>
      <w:r>
        <w:rPr>
          <w:rStyle w:val="normal-h"/>
          <w:rFonts w:ascii="Arial" w:hAnsi="Arial" w:cs="Arial"/>
          <w:rtl w:val="true"/>
        </w:rPr>
        <w:t>בתואנה כי ברצונו למכור לו רכב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המתלונן המתין לנאשם בגפו במקום המפגש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 xml:space="preserve">בשעה </w:t>
      </w:r>
      <w:r>
        <w:rPr>
          <w:rStyle w:val="normal-h"/>
          <w:rFonts w:cs="Arial" w:ascii="Arial" w:hAnsi="Arial"/>
        </w:rPr>
        <w:t>19:30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לערך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הגיע למקום המפגש קטנוע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עליו רכובים הנאשם ואחר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אחד מהשניים ירד מהקטנוע ותקף את המתלונן באלימות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חנק את צווארו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סתם את פיו והפילו ארצה ובתוך כך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הכהו בראשו באמצעות קת אקדח ודרש לדעת היכן הכסף שהביא עמו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משנענה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כי הכסף מצוי ברכב המתלונן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נטל השודד השני מתוך הרכב תיק ובו סך של </w:t>
      </w:r>
      <w:r>
        <w:rPr>
          <w:rStyle w:val="normal-h"/>
          <w:rFonts w:cs="Arial" w:ascii="Arial" w:hAnsi="Arial"/>
        </w:rPr>
        <w:t>30,000</w:t>
      </w:r>
      <w:r>
        <w:rPr>
          <w:rStyle w:val="normal-h"/>
          <w:rFonts w:cs="Arial" w:ascii="Arial" w:hAnsi="Arial"/>
          <w:rtl w:val="true"/>
        </w:rPr>
        <w:t xml:space="preserve"> ₪ </w:t>
      </w:r>
      <w:r>
        <w:rPr>
          <w:rStyle w:val="normal-h"/>
          <w:rFonts w:ascii="Arial" w:hAnsi="Arial" w:cs="Arial"/>
          <w:rtl w:val="true"/>
        </w:rPr>
        <w:t>והשניים נמלטו על הקטנוע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בהותירם מאחור את המתלונן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מדמם בראשו עקב המכות שספג</w:t>
      </w:r>
      <w:r>
        <w:rPr>
          <w:rStyle w:val="normal-h"/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autoSpaceDE w:val="false"/>
        <w:spacing w:lineRule="auto" w:line="360" w:before="0" w:after="240"/>
        <w:ind w:hanging="539" w:start="567" w:end="0"/>
        <w:jc w:val="both"/>
        <w:rPr/>
      </w:pPr>
      <w:r>
        <w:rPr>
          <w:rFonts w:ascii="Arial" w:hAnsi="Arial" w:cs="Arial"/>
          <w:rtl w:val="true"/>
        </w:rPr>
        <w:t>חומרת האירוע ונסיבותיו תוארו בהכרעת הדין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before="0" w:after="240"/>
        <w:ind w:start="1466" w:end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השוד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תוכנן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בקפידה</w:t>
      </w:r>
      <w:r>
        <w:rPr>
          <w:rFonts w:cs="Arial" w:ascii="Arial" w:hAnsi="Arial"/>
          <w:b/>
          <w:bCs/>
          <w:sz w:val="22"/>
          <w:szCs w:val="22"/>
          <w:rtl w:val="true"/>
        </w:rPr>
        <w:t>,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בתחכום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ומתוך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תעוזה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בחר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את קורבנו</w:t>
      </w:r>
      <w:r>
        <w:rPr>
          <w:rFonts w:cs="Arial" w:ascii="Arial" w:hAnsi="Arial"/>
          <w:b/>
          <w:bCs/>
          <w:sz w:val="22"/>
          <w:szCs w:val="22"/>
          <w:rtl w:val="true"/>
        </w:rPr>
        <w:t>,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ניטרל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ממקום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מושבו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בודד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מחבריו</w:t>
      </w:r>
      <w:r>
        <w:rPr>
          <w:rFonts w:cs="Arial" w:ascii="Arial" w:hAnsi="Arial"/>
          <w:b/>
          <w:bCs/>
          <w:sz w:val="22"/>
          <w:szCs w:val="22"/>
          <w:rtl w:val="true"/>
        </w:rPr>
        <w:t>,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דאג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לכך שיגיע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כסף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מזומן 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הכל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כדי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לשדוד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אגב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שימוש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בנשק ובאלימות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39" w:start="567" w:end="0"/>
        <w:jc w:val="both"/>
        <w:rPr>
          <w:rFonts w:ascii="Arial" w:hAnsi="Arial" w:cs="Arial"/>
        </w:rPr>
      </w:pPr>
      <w:r>
        <w:rPr>
          <w:rStyle w:val="normal-h"/>
          <w:rFonts w:ascii="Arial" w:hAnsi="Arial" w:cs="Arial"/>
          <w:rtl w:val="true"/>
        </w:rPr>
        <w:t>הנאשם אותר בתום חקירה ארוכה וממושכת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מוקפדת ומתוחכמת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כאשר הגיעה המשטרה לבית הנאשם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בחלוף כשנה מאירוע השוד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>נתפסו מוסתרים בחדרו אקדח מסוג ברטה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מחסנית מתאימה ובה </w:t>
      </w:r>
      <w:r>
        <w:rPr>
          <w:rStyle w:val="normal-h"/>
          <w:rFonts w:cs="Arial" w:ascii="Arial" w:hAnsi="Arial"/>
        </w:rPr>
        <w:t>6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 xml:space="preserve">כדורים בקוטר </w:t>
      </w:r>
      <w:r>
        <w:rPr>
          <w:rStyle w:val="normal-h"/>
          <w:rFonts w:cs="Arial" w:ascii="Arial" w:hAnsi="Arial"/>
        </w:rPr>
        <w:t>9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מ</w:t>
      </w:r>
      <w:r>
        <w:rPr>
          <w:rStyle w:val="normal-h"/>
          <w:rFonts w:cs="Arial" w:ascii="Arial" w:hAnsi="Arial"/>
          <w:rtl w:val="true"/>
        </w:rPr>
        <w:t>"</w:t>
      </w:r>
      <w:r>
        <w:rPr>
          <w:rStyle w:val="normal-h"/>
          <w:rFonts w:ascii="Arial" w:hAnsi="Arial" w:cs="Arial"/>
          <w:rtl w:val="true"/>
        </w:rPr>
        <w:t>מ ומחסנית נוספת לאקדח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cs="Arial" w:ascii="Arial" w:hAnsi="Arial"/>
        </w:rPr>
        <w:t>41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כדורי הולו פוינט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רימון עשן מספר </w:t>
      </w:r>
      <w:r>
        <w:rPr>
          <w:rStyle w:val="normal-h"/>
          <w:rFonts w:cs="Arial" w:ascii="Arial" w:hAnsi="Arial"/>
        </w:rPr>
        <w:t>5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ומחסנית המתאימה לרובה </w:t>
      </w:r>
      <w:r>
        <w:rPr>
          <w:rStyle w:val="normal-h"/>
          <w:rFonts w:cs="Arial" w:ascii="Arial" w:hAnsi="Arial"/>
        </w:rPr>
        <w:t>M16</w:t>
      </w:r>
      <w:r>
        <w:rPr>
          <w:rStyle w:val="normal-h"/>
          <w:rFonts w:cs="Arial" w:ascii="Arial" w:hAnsi="Arial"/>
          <w:rtl w:val="true"/>
        </w:rPr>
        <w:t xml:space="preserve">. </w:t>
      </w:r>
      <w:r>
        <w:rPr>
          <w:rStyle w:val="normal-h"/>
          <w:rFonts w:ascii="Arial" w:hAnsi="Arial" w:cs="Arial"/>
          <w:rtl w:val="true"/>
        </w:rPr>
        <w:t>בנוסף</w:t>
      </w:r>
      <w:r>
        <w:rPr>
          <w:rStyle w:val="normal-h"/>
          <w:rFonts w:cs="Arial" w:ascii="Arial" w:hAnsi="Arial"/>
          <w:rtl w:val="true"/>
        </w:rPr>
        <w:t xml:space="preserve">, </w:t>
      </w:r>
      <w:r>
        <w:rPr>
          <w:rStyle w:val="normal-h"/>
          <w:rFonts w:ascii="Arial" w:hAnsi="Arial" w:cs="Arial"/>
          <w:rtl w:val="true"/>
        </w:rPr>
        <w:t xml:space="preserve">נתפס בכיס מעילו סם מסוכן מסוג קוקאין במשקל של </w:t>
      </w:r>
      <w:r>
        <w:rPr>
          <w:rStyle w:val="normal-h"/>
          <w:rFonts w:cs="Arial" w:ascii="Arial" w:hAnsi="Arial"/>
        </w:rPr>
        <w:t>3.5564</w:t>
      </w:r>
      <w:r>
        <w:rPr>
          <w:rStyle w:val="normal-h"/>
          <w:rFonts w:cs="Arial" w:ascii="Arial" w:hAnsi="Arial"/>
          <w:rtl w:val="true"/>
        </w:rPr>
        <w:t xml:space="preserve"> </w:t>
      </w:r>
      <w:r>
        <w:rPr>
          <w:rStyle w:val="normal-h"/>
          <w:rFonts w:ascii="Arial" w:hAnsi="Arial" w:cs="Arial"/>
          <w:rtl w:val="true"/>
        </w:rPr>
        <w:t>גרם</w:t>
      </w:r>
      <w:r>
        <w:rPr>
          <w:rStyle w:val="normal-h"/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הנאשם – תסקיר שרות המבחן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 בבית הוריו במושב מצליח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לאחר מעצרו העתיקו מגוריהם לעיר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הבושה עקב הסתבכותו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מנהל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קשר יציב עם בת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הישגים בינוניים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 העתיקה את מקום מגוריה לעיתים תכופות על רקע קשיים 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שהשפיע על הישגיו בלימודים ועל הסתגלותו החברתית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לימודיו עזב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לסייע בכלכלת המשפחה והוא עבד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שירותו הצבאי נגדע בעקבות תיק פלילי שנפתח נגדו בגין עבירות של תגרה במקום ציבורי וחבלה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בעטיו נדון בשנת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לארבעה 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 כי הנאשם מוכר לשירות מאותו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נמנע מהמלצה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ונקט בהכחשה והשלכה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לעבירות מושא הליך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לקחת אחריות וניכר עליו כי אינו מבין את 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לספק הסבר לסמים ולנשק שנתפסו בחזקתו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נזקקות לטיפול בסמים ומסר אינפורמציה חלקית ולא עקבית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כיום הוא מבין את המחירים הכרוכים בהסתבכותו וכי הוא מתחרט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הטעים את תוכניתו להינשא לחברתו עם שחרורו מהמאסר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מנאשם שגדל בעזובה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המתבטא בתפקודו הירוד בכלל מסגרות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להיפתח בפני שרות המבחן ונמנע מלשתף בהסתבכותו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לבחון את דפוסיו הבעייתיים ואת המניעים להתנהגותו ולהסתבכותו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מצעיר בעל אישיות תלותית אשר טרם השכיל לפתח אישיות עצמאית ונפרדת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העובדה כי הנאשם שולל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לרחמיי בית המשפט וציין כי בנו מעד וביצע את המעשים מתוך מצוקה בה היה שרוי בעקבות פציעה קשה בתאונת דרכים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ביקש לנקוט בנאשם במידת הרחמים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בגילו הצעיר ובתקווה כי ישנה דרכיו בהמשך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יעל עצמון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הטעימה את חומרתן של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לצד כל אחת מהן קבוע עונש מאסר לתקופה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הדגישה את הנסיבות החמורות בהן בוצע מעשה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תוכנן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היכרות מוקדמת בין הנאשם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הצטייד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בקטנוע ובכרטיס סים זמני לשם טשטוש עקבותיו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מאותו הטעם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נטש את הקטנוע לאחר ביצוע השוד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עמדה על החבלות שגרם הנאשם למתלונן בגוף ובנפש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נזק כלכלי של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הרשעה קודמת מחודש אוקטובר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עבירות של תגרה במקום ציבורי וחבלה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בעטיין ריצה ארבעה חודשי מאסר בעבודות שירות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תלוי ועומד נגדו מאסר מותנה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 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עתרה למיצוי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בעבר ניתנה לו ההזדמנות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לא השכיל לנצל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 וביצע עבירות אלימות תוך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שהיה בעונש המאסר המותנה התלוי על צווארו כדי להרתיעו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מכלול השיקולים מצביעים על הסכנה הנשקפת מהנאשם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להרחיקו מהחברה לתקופה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הטעימה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במי אשר ביצע עבירת שוד ובהמשך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בפער זמנים של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בביתו נשק ותחמושת וכן בסם מסוכן מסוג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בכמות שאינה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באלו כדי ללמד על אדם שאינו נורמטיבי אלא מעורה בחיי הפשע ולא חדל מלבצע עבירות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מצטרפת עמדת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המדברת בעד 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ביקשה להטיל על הנאשם עונשים מצטברים זה לזה בגין עבירות השוד ועבירות הנשק והסמים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העובדה ששנה מפרידה בין שתי המסכות העובדתיות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השונות זו מזו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לעונשים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לצבור את עונש המאסר שעתרה להפעלתו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הטעימה את החומרה שיש בעבירה של החזקת 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הכמות שנתפסה ברשות הנאשם וסוגי התחמושת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כדורי ההולו פויינט שנתפסו ברשותו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נאסרו לשימוש מלחמתי באמנת האג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הנזק הקשה שהם מסבים לקורבנות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עמדה על מדיניות הענישה ההולכת ומחמירה הן בעבירות נשק והן בעבירת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נפיצותן וחומרתן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עתרה להטיל על הנאשם עונש מאסר כבד ומרתיע בן מספר רב של שנים שיהיה בו להעביר מסר חד משמעי וברור כי הפוגע בחברו לשם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מאסר ממושך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להשית על הנאשם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בני נהרי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מנגד להסתפק בתקופת המעצר שריצה הנאשם עד כה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כשנה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הסנגור ביקש לזקוף לזכות מרשו את הודייתו באישום השני שעניינו עבירות הנשק והסמים ואת החרטה שהביע על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 כי חרף הקביעה בהכרעת הדין כי הנאשם ביצע את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שלאור העובדה שהשוד בוצע בצוותא עם אחר אלמוני ובהעדר ממצא הקובע את חלקו של כל אחד מהשותפים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לשלול האפשרות כי האחר היה הדומיננטי בביצוע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שתקף את המתלונן ונקט באלימות והנאשם היה זה אשר צלצל אל המתלונן עובר לשוד ונטל את כספו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לעבירת החזקת הסמים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הסנגור כי הסמים הוחזקו לצורך שימושו העצמי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לשיכוך כאבים בעקבות פציעתו בתאונת דרכים שעבר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הוגשו אישורים רפואיים על קרות התאונה ופציעותיו הקשות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ציין כי עברו של הנאשם אינו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כי מאז אירוע השוד ועד שנתפסו בבית הנאשם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ביצע הנאשם 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ביקש להתחשב בנסיבות חייו הקשות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במכה הקשה שספגה משפחתו מאז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הטעים את בקשת האב להקל עם בנו ולאפשר לו פתח לשיקום בגילו הצעיר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גרס הסנגור כי מעצרו של הנאשם למשך שנה ושלושה חודשים מהווה ענישה הולמת ומספקת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במיוחד נוכח התנאים הקשים השוררים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הזכויות והפריבילגיות הניתנות לאסירים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חופשות ועוד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וענישה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רבות נאמר על חומרתה של עבירת השוד שהפכה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הפוגעת לא רק ברכוש הציבור אלא בתחושת 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ההסלמה בעבירות השוד בעת האחרונה חלה החמרה במדיניות הענישה במטרה להביא למיגור התופעה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 נקבע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Ruller5"/>
        <w:spacing w:before="0" w:after="240"/>
        <w:ind w:start="1644" w:end="1281"/>
        <w:jc w:val="both"/>
        <w:rPr>
          <w:rFonts w:ascii="Arial" w:hAnsi="Arial" w:cs="Arial"/>
          <w:spacing w:val="0"/>
          <w:szCs w:val="22"/>
        </w:rPr>
      </w:pPr>
      <w:r>
        <w:rPr>
          <w:rFonts w:cs="Arial" w:ascii="Arial" w:hAnsi="Arial"/>
          <w:spacing w:val="0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עבירות שוד ואלימות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ובמיוחד כאלה המבוצעות בצוותא לאחר תכנון מראש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מצריכות תגובה עונשית חמורה ואפקטיבית כמסר של הגנה על ביטחון הציבור וכמסר חינוכי שייקלט בתודעת הציבור</w:t>
      </w:r>
      <w:r>
        <w:rPr>
          <w:rFonts w:cs="Arial" w:ascii="Arial" w:hAnsi="Arial"/>
          <w:spacing w:val="0"/>
          <w:szCs w:val="22"/>
          <w:rtl w:val="true"/>
        </w:rPr>
        <w:t>" (</w:t>
      </w:r>
      <w:hyperlink r:id="rId21">
        <w:r>
          <w:rPr>
            <w:rStyle w:val="Hyperlink"/>
            <w:rFonts w:ascii="Arial" w:hAnsi="Arial" w:cs="Arial"/>
            <w:spacing w:val="0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pacing w:val="0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pacing w:val="0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pacing w:val="0"/>
            <w:szCs w:val="22"/>
          </w:rPr>
          <w:t>3069/05</w:t>
        </w:r>
      </w:hyperlink>
      <w:r>
        <w:rPr>
          <w:rFonts w:cs="Arial" w:ascii="Arial" w:hAnsi="Arial"/>
          <w:spacing w:val="0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אבוטבול</w:t>
      </w:r>
      <w:r>
        <w:rPr>
          <w:rFonts w:cs="Arial" w:ascii="Arial" w:hAnsi="Arial"/>
          <w:spacing w:val="0"/>
          <w:szCs w:val="22"/>
          <w:rtl w:val="true"/>
        </w:rPr>
        <w:t>, [</w:t>
      </w:r>
      <w:r>
        <w:rPr>
          <w:rFonts w:ascii="Arial" w:hAnsi="Arial" w:cs="Arial"/>
          <w:spacing w:val="0"/>
          <w:szCs w:val="22"/>
          <w:rtl w:val="true"/>
        </w:rPr>
        <w:t>פורסם בנבו</w:t>
      </w:r>
      <w:r>
        <w:rPr>
          <w:rFonts w:cs="Arial" w:ascii="Arial" w:hAnsi="Arial"/>
          <w:spacing w:val="0"/>
          <w:szCs w:val="22"/>
          <w:rtl w:val="true"/>
        </w:rPr>
        <w:t>] (</w:t>
      </w:r>
      <w:r>
        <w:rPr>
          <w:rFonts w:cs="Arial" w:ascii="Arial" w:hAnsi="Arial"/>
          <w:spacing w:val="0"/>
          <w:szCs w:val="22"/>
        </w:rPr>
        <w:t>2006</w:t>
      </w:r>
      <w:r>
        <w:rPr>
          <w:rFonts w:cs="Arial" w:ascii="Arial" w:hAnsi="Arial"/>
          <w:spacing w:val="0"/>
          <w:szCs w:val="22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חומרה מיוחדת יש לראות בתכנון המתוחכם והקפדני של מעשה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בפתח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בחר בקפידה את קורבנו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היכרותו המוקדמת עמו ובשל עיסוקו כסוחר מכוניות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ידע על מנהגו לסחור בכסף מזומן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 יצר עמו קשר באמצעות כרטיס סים זמני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טשטוש עקבותיו ופיתה אותו להגיע למקום המפגש באמתלה לפיה רוצה למכור לו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 הצטיידו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באמצעותו הכו במתלונן והפחידו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וחברו הגיעו לזירת האירוע על גבי 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הימלטות 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כשפניהם מכוסים בקסדות כהות להסוואה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זנחו את הקטנוע בכדי למנוע קשירתם למעשה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אופן זה של תכנון וביצוע מעיד על מסוכנותו הרבה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במחשבה תחילה ובהיותו אדיש להשלכות המעשה על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לשדוד אותו תחת איומי אקדח ובאלימות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מתוך בצע כסף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עדותו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המתלונן את הטראומה הקשה שחווה עקב מעשה השוד והפציעה שנגרמה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לתחושתו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בנס ניצל מאימתם של השודדים וממעשיהם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לעבירת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בעבירות של החזקת סם מסוג קוקאין 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וכן בהחזקת נשק ותחמושת בכמות נכבדת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קבע המחוקק עונשים מרתיעים למבצעי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כוונת החקיקה להרתיע אנשים מלבצע עבירות אשר מעבר להיותן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עלולות הן להוביל בהמשך לתוצאות חמורות אף יותר וזאת אם ייעשה בנשק שימוש על ידי גורמים פליליים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שימוש נגד 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נקבע ביחס למדיניות הענישה בעבירות נשק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6" w:leader="none"/>
        </w:tabs>
        <w:spacing w:before="0" w:after="240"/>
        <w:ind w:start="1469"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בימים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נשק חם משמש בידי ארגוני טרור לפעולות חבלה והרג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 בידי עבריינים למטרות פליליות המסכנות חיי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22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4526/04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זעתרי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sz w:val="22"/>
          <w:szCs w:val="22"/>
          <w:rtl w:val="true"/>
        </w:rPr>
        <w:t>] (</w:t>
      </w:r>
      <w:r>
        <w:rPr>
          <w:rFonts w:cs="Arial" w:ascii="Arial" w:hAnsi="Arial"/>
          <w:sz w:val="22"/>
          <w:szCs w:val="22"/>
        </w:rPr>
        <w:t>2004</w:t>
      </w:r>
      <w:r>
        <w:rPr>
          <w:rFonts w:cs="Arial" w:ascii="Arial" w:hAnsi="Arial"/>
          <w:sz w:val="22"/>
          <w:szCs w:val="22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בהינתן עבירות הנשק והסמים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לקבל את עמדת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מעשה השוד הינו  מעידה חד פעמית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מצבור 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ואף הסמים מלמד על מעורבות עבריינית ברורה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מתווספת הרשעתו הקודמת והמאסר המותנה שעומד לחובתו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כפירתו במעשה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הנאשם מלהביע חרטה לגביו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לעבירות של החזקת הסמים והנשק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ליטול אחריות לגביהן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שהביע חרטה בפני שירות המבחן על ביצוען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או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נמנע מלבוא בהמלצה ביחס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שנפצע באורח קשה בתאונת דרכים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שזה לו מאסרו הראשון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שבחנתי את מכלול השיקולים הצריכים לעניין וכן את רף הענישה הנוהג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 מאסר בפועל בניכוי ימי מעצרו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23.11.10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29.2.12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המאסר המותנה שנגזר על הנאשם ל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</w:t>
      </w:r>
      <w:hyperlink r:id="rId23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2042/07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בית משפט השלום ראשל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2.10.08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יופעל במצטבר לעונש המאסר שלעיל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כך שבסה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 ירצה הנאשם </w:t>
      </w:r>
      <w:r>
        <w:rPr>
          <w:rFonts w:cs="Arial" w:ascii="Arial" w:hAnsi="Arial"/>
          <w:b/>
          <w:bCs/>
          <w:u w:val="single"/>
        </w:rPr>
        <w:t>7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שנות מאסר בצירוף </w:t>
      </w:r>
      <w:r>
        <w:rPr>
          <w:rFonts w:cs="Arial" w:ascii="Arial" w:hAnsi="Arial"/>
          <w:b/>
          <w:bCs/>
          <w:u w:val="single"/>
        </w:rPr>
        <w:t>7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חודשים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מהמאסר והתנאי הוא שלא יעבור עבירה בה הורשע או כל עבירת אלימות או רכוש שהיא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57" w:start="14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יפצה את המתלונן פיצוי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numPr>
          <w:ilvl w:val="1"/>
          <w:numId w:val="1"/>
        </w:numPr>
        <w:spacing w:lineRule="auto" w:line="360" w:before="0" w:after="480"/>
        <w:ind w:hanging="357" w:start="143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ישלם 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משפט 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59033-11-10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אופיר חביבה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9.a" TargetMode="External"/><Relationship Id="rId14" Type="http://schemas.openxmlformats.org/officeDocument/2006/relationships/hyperlink" Target="http://www.nevo.co.il/law/70301/413c" TargetMode="External"/><Relationship Id="rId15" Type="http://schemas.openxmlformats.org/officeDocument/2006/relationships/hyperlink" Target="http://www.nevo.co.il/law/70301/29.a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5873746" TargetMode="External"/><Relationship Id="rId22" Type="http://schemas.openxmlformats.org/officeDocument/2006/relationships/hyperlink" Target="http://www.nevo.co.il/case/5962283" TargetMode="External"/><Relationship Id="rId23" Type="http://schemas.openxmlformats.org/officeDocument/2006/relationships/hyperlink" Target="http://www.nevo.co.il/case/2512334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2016-07-27T15:26:00Z</dcterms:created>
  <dc:creator>Alina Raichlin</dc:creator>
  <dc:description/>
  <cp:keywords/>
  <dc:language>en-IL</dc:language>
  <cp:lastModifiedBy>run</cp:lastModifiedBy>
  <dcterms:modified xsi:type="dcterms:W3CDTF">2016-07-27T15:26:00Z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אופיר חביבה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5873746;5962283;2512334</vt:lpwstr>
  </property>
  <property fmtid="{D5CDD505-2E9C-101B-9397-08002B2CF9AE}" pid="9" name="CITY">
    <vt:lpwstr>מרכז</vt:lpwstr>
  </property>
  <property fmtid="{D5CDD505-2E9C-101B-9397-08002B2CF9AE}" pid="10" name="DATE">
    <vt:lpwstr>20120229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70301/402.b;029.a:2;413c;144;144.a</vt:lpwstr>
  </property>
  <property fmtid="{D5CDD505-2E9C-101B-9397-08002B2CF9AE}" pid="15" name="LAWLISTTMP2">
    <vt:lpwstr>4216/007.a;007.c</vt:lpwstr>
  </property>
  <property fmtid="{D5CDD505-2E9C-101B-9397-08002B2CF9AE}" pid="16" name="LAWYER">
    <vt:lpwstr>יעל עצמון;בני נהרי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59033</vt:lpwstr>
  </property>
  <property fmtid="{D5CDD505-2E9C-101B-9397-08002B2CF9AE}" pid="23" name="NEWPARTB">
    <vt:lpwstr>11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390020120229</vt:lpwstr>
  </property>
  <property fmtid="{D5CDD505-2E9C-101B-9397-08002B2CF9AE}" pid="35" name="TYPE_N_DATE">
    <vt:lpwstr>39020120229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