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59067-10-21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עלקם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"/>
                <w:szCs w:val="2"/>
              </w:rPr>
            </w:pPr>
            <w:r>
              <w:rPr>
                <w:rFonts w:cs="FrankRuehl"/>
                <w:sz w:val="2"/>
                <w:szCs w:val="2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12"/>
          <w:szCs w:val="12"/>
        </w:rPr>
      </w:pPr>
      <w:r>
        <w:rPr>
          <w:rFonts w:cs="Times New Roman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sz w:val="12"/>
          <w:szCs w:val="12"/>
          <w:u w:val="none"/>
        </w:rPr>
      </w:pPr>
      <w:r>
        <w:rPr>
          <w:b w:val="false"/>
          <w:bCs w:val="false"/>
          <w:sz w:val="12"/>
          <w:szCs w:val="12"/>
          <w:u w:val="none"/>
          <w:rtl w:val="true"/>
        </w:rPr>
      </w:r>
    </w:p>
    <w:p>
      <w:pPr>
        <w:pStyle w:val="12"/>
        <w:ind w:end="0"/>
        <w:jc w:val="start"/>
        <w:rPr>
          <w:rFonts w:ascii="David" w:hAnsi="David" w:cs="David"/>
          <w:b w:val="false"/>
          <w:bCs w:val="false"/>
          <w:sz w:val="26"/>
          <w:szCs w:val="26"/>
          <w:u w:val="none"/>
        </w:rPr>
      </w:pPr>
      <w:r>
        <w:rPr>
          <w:rFonts w:cs="David" w:ascii="David" w:hAnsi="David"/>
          <w:b w:val="false"/>
          <w:bCs w:val="false"/>
          <w:sz w:val="26"/>
          <w:szCs w:val="26"/>
          <w:u w:val="none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פני כב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שופטת חנה מרים לומפ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באמצעות פרקליטות מחוז ירושלים 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על ידי ב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 יעל ריצ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'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קר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1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כנעאן עלקם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),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12"/>
                <w:szCs w:val="12"/>
              </w:rPr>
            </w:pPr>
            <w:r>
              <w:rPr>
                <w:rFonts w:cs="David" w:ascii="David" w:hAnsi="David"/>
                <w:b/>
                <w:bCs/>
                <w:sz w:val="12"/>
                <w:szCs w:val="12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2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מחמד מאלק עלקם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),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שניהם על ידי ב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 רמי עותמאן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  <w:t>&lt;</w:t>
      </w:r>
      <w:r>
        <w:rPr>
          <w:rFonts w:cs="David" w:ascii="David" w:hAnsi="David"/>
          <w:sz w:val="8"/>
          <w:szCs w:val="8"/>
        </w:rPr>
        <w:t>#2#</w:t>
      </w:r>
      <w:r>
        <w:rPr>
          <w:rFonts w:cs="David" w:ascii="David" w:hAnsi="David"/>
          <w:sz w:val="8"/>
          <w:szCs w:val="8"/>
          <w:rtl w:val="true"/>
        </w:rPr>
        <w:t>&gt;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8"/>
          <w:szCs w:val="8"/>
        </w:rPr>
      </w:pPr>
      <w:r>
        <w:rPr>
          <w:rFonts w:cs="FrankRuehl" w:ascii="FrankRuehl" w:hAnsi="FrankRuehl"/>
          <w:sz w:val="8"/>
          <w:szCs w:val="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499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12"/>
          <w:szCs w:val="12"/>
        </w:rPr>
      </w:pPr>
      <w:r>
        <w:rPr>
          <w:rFonts w:cs="Arial" w:ascii="Arial" w:hAnsi="Arial"/>
          <w:b/>
          <w:bCs/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רקע</w:t>
      </w:r>
    </w:p>
    <w:p>
      <w:pPr>
        <w:pStyle w:val="ListParagraph"/>
        <w:ind w:start="360" w:end="360"/>
        <w:jc w:val="both"/>
        <w:rPr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ind w:hanging="283" w:start="283" w:end="0"/>
        <w:jc w:val="both"/>
        <w:rPr/>
      </w:pPr>
      <w:bookmarkStart w:id="10" w:name="ABSTRACT_START"/>
      <w:bookmarkEnd w:id="10"/>
      <w:r>
        <w:rPr>
          <w:rFonts w:ascii="Arial" w:hAnsi="Arial" w:cs="Arial"/>
          <w:rtl w:val="true"/>
        </w:rPr>
        <w:t>הנאשמים</w:t>
      </w:r>
      <w:r>
        <w:rPr>
          <w:rtl w:val="true"/>
        </w:rPr>
        <w:t xml:space="preserve"> הורשעו על פי הודאתם</w:t>
      </w:r>
      <w:r>
        <w:rPr>
          <w:rtl w:val="true"/>
        </w:rPr>
        <w:t xml:space="preserve">, </w:t>
      </w:r>
      <w:r>
        <w:rPr>
          <w:rtl w:val="true"/>
        </w:rPr>
        <w:t>במסגרת הסדר טיעון בכתב אישום מתוקן</w:t>
      </w:r>
      <w:r>
        <w:rPr>
          <w:rtl w:val="true"/>
        </w:rPr>
        <w:t xml:space="preserve">, </w:t>
      </w:r>
      <w:r>
        <w:rPr>
          <w:rtl w:val="true"/>
        </w:rPr>
        <w:t>בעבירות נשק כדלהלן</w:t>
      </w:r>
      <w:r>
        <w:rPr>
          <w:rtl w:val="true"/>
        </w:rPr>
        <w:t xml:space="preserve">: </w:t>
      </w:r>
      <w:r>
        <w:rPr>
          <w:rtl w:val="true"/>
        </w:rPr>
        <w:t>שני הנאשמים הורשעו בעבירה של קשירת קשר</w:t>
      </w:r>
      <w:r>
        <w:rPr>
          <w:rFonts w:ascii="Arial" w:hAnsi="Arial" w:cs="Arial"/>
          <w:rtl w:val="true"/>
        </w:rPr>
        <w:t xml:space="preserve"> לביצוע פשע – עבירה לפי </w:t>
      </w:r>
      <w:hyperlink r:id="rId6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499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color w:val="000000"/>
            <w:u w:val="non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").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הורשע </w:t>
      </w:r>
      <w:r>
        <w:rPr>
          <w:rFonts w:ascii="Arial" w:hAnsi="Arial" w:cs="Arial"/>
          <w:rtl w:val="true"/>
        </w:rPr>
        <w:t xml:space="preserve">בנשיאת נשק – עבירה לפי </w:t>
      </w:r>
      <w:hyperlink r:id="rId8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לחוק ובנשיאת תחמושת ואביזר – עבירה לפי </w:t>
      </w:r>
      <w:hyperlink r:id="rId9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בסיוע לאותן 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כן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צירף את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55950-11-19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מבית המשפט השלום בירושלים והורשע בגניבה – עבירה לפי </w:t>
      </w:r>
      <w:hyperlink r:id="rId11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384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בגדרי הסדר הטיעון הצדדים לא הגיעו להסכמה לעניין העונש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הנאשמים לא ביקש לקבל תסקיר בעניינם</w:t>
      </w:r>
      <w:r>
        <w:rPr>
          <w:rtl w:val="true"/>
        </w:rPr>
        <w:t xml:space="preserve">, </w:t>
      </w:r>
      <w:r>
        <w:rPr>
          <w:rtl w:val="true"/>
        </w:rPr>
        <w:t>והטיעונים לעונש נשמעו מיד לאחר הצגת הסדר הטיעון</w:t>
      </w:r>
      <w:r>
        <w:rPr>
          <w:rtl w:val="true"/>
        </w:rPr>
        <w:t>.</w:t>
      </w:r>
    </w:p>
    <w:p>
      <w:pPr>
        <w:pStyle w:val="ListParagraph"/>
        <w:ind w:start="36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  <w:bookmarkStart w:id="11" w:name="ABSTRACT_END"/>
      <w:bookmarkStart w:id="12" w:name="ABSTRACT_END"/>
      <w:bookmarkEnd w:id="12"/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ind w:hanging="283" w:start="283" w:end="0"/>
        <w:jc w:val="both"/>
        <w:rPr>
          <w:rFonts w:ascii="Arial" w:hAnsi="Arial" w:cs="Arial"/>
        </w:rPr>
      </w:pPr>
      <w:r>
        <w:rPr>
          <w:rtl w:val="true"/>
        </w:rPr>
        <w:t>מעובדות כתב האישום המתוקן עולה</w:t>
      </w:r>
      <w:r>
        <w:rPr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הנאשמים הם בני דודים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בעליו של רכב מסוג פולקסווגן ל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39-320-56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הרכב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בתקופה הרלוונטית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29.4.21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למעצרם קשרו הנאשמים קשר לסחור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בחלקי נשק ובאביזרי נשק 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בתקופה הרלוונטית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במספר רב של הזדמנויות במועדים אשר אינם ידועים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קשרו הנאשמים קשר על מנת לרכוש כלי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את חלקם אף ביקשו למכור לאחרים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במספר הזדמנויות במועדים שאינם ידועים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קשרו הנאשמים קשר למכור לאחרים אקדחים כגון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אקדח בלגי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סטאר וכן נשקים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תמורת סכום של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40,000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לאקדח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tabs>
          <w:tab w:val="clear" w:pos="720"/>
          <w:tab w:val="left" w:pos="-142" w:leader="none"/>
        </w:tabs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7.10.21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17:00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נסעו הנאשמים ברכבו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על כביש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לדרום מכיוון כיכר מעבר מכמש לכיוון צומת שער בנימין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נוהג ונאשם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יושב לצידו במושב הנוסע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ברכבו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במועד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הוביל ונשא ברכב אקדח חצי אוטמטי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הקלר אנד קוך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תוצרת גרמניה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יורה ובכוחו להמית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האקדח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יחד עם מחסנית תואמת לאקדח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מחסנית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m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ותחמושת לרובה ציד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סייע לו בכך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בהגיעם סמוך לצומת שער בנימין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עוכבו הנאשמים על ידי כוח משטרתי והועברו לחקירה בתחנת המשטרה בבנימין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התחנה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אז בוצע חיפוש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נמצאו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מחסניות לרובה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m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במגירה הנמצאת מתחת למושב הנוסע הקדמי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מחסנית לאקדח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וכן תחמושת לרובה ציד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tabs>
          <w:tab w:val="clear" w:pos="720"/>
          <w:tab w:val="left" w:pos="-142" w:leader="none"/>
        </w:tabs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באופן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הוציאו הנאשמים את האקדח מן הרכב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הסתירו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בעודו יושב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מחוץ לרכב על כיסא פלסטיק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כשקם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מהכיסא לצורך חיפוש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נגלה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החל להשתולל ולצעוק בכזב על חייל ושוטרים שנכחו במקום כי הם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השתילו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את האקדח במקום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tabs>
          <w:tab w:val="clear" w:pos="720"/>
          <w:tab w:val="left" w:pos="-142" w:leader="none"/>
        </w:tabs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במעשיהם המתוארים לעיל קשרו הנאשמים קשר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כמו כן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נשא או הוביל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נשא תחמושת ואביזרי נשק בלא רשות על פי דין לנשיאתם או הובלתם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סייע לו באלה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tabs>
          <w:tab w:val="clear" w:pos="720"/>
          <w:tab w:val="left" w:pos="-142" w:leader="none"/>
        </w:tabs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מעובדות כתב האישום המצורף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55950-11-19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בתאריך </w:t>
      </w:r>
      <w:r>
        <w:rPr>
          <w:rFonts w:cs="Arial" w:ascii="Arial" w:hAnsi="Arial"/>
        </w:rPr>
        <w:t>10.6.19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18:30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בקפה נאמן ברחוב יפו בירושלים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המקום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נטל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את מכשיר הפלאפון של מיכל סלנט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המתלוננת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משולחן במקום ונטש את המקום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tabs>
          <w:tab w:val="clear" w:pos="720"/>
          <w:tab w:val="left" w:pos="-142" w:leader="none"/>
        </w:tabs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במעשיו נשא ונטל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דבר הניתן להיגנב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הסכמת המתלוננת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במרמה ובלי תביעת זכות בתום לב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מתכוון בשעת הנטילה לשלול את הדבר מהמתלוננת שלילת קבע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12"/>
          <w:szCs w:val="12"/>
          <w:u w:val="single"/>
        </w:rPr>
      </w:pPr>
      <w:r>
        <w:rPr>
          <w:rFonts w:cs="Arial" w:ascii="Arial" w:hAnsi="Arial"/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spacing w:before="0" w:after="0"/>
        <w:ind w:hanging="284" w:start="284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הדגישה בטיעוניה את החומרה בעבירות הנשק ואת התוצאות הרות האסון הנגרמות מנשק שאינו חוקי המתגלגל ברחבי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הגם שהתיקון שנעשה לאחרונה ב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הקובע עונשי מינימום בעבירות נשק אינו חל בתיק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לפעול ברוח התיקון המבטא את עמדת המחוקק בצורך בהחמרת 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הצורך בהחמרה בעבירות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הפנתה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לפסיקה מהעת האחרונה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בגדרה קיבל בית המשפט העליון ערעורים שהגישה המאשימה והחמיר בענישה בעבירות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הדגשת הצורך בהחמרה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במקרים בהם התיקון לחוק טרם נכנס לתוקף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בשים לב לתכלית התיקון ולרצון המחוקק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לנסיבות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הדגישה המאשימה כי מדובר בעבירה מתוכננת שבוצעה בצוותא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אף שהנאשמים נתפסו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תחילה האקדח לא אותר והוצא מהרכב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התיישב עליו כדי להסתירו וכאשר נתפס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טען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שהוא אותר על ידי השוטרים והכל כדי לסייע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להסתיר את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סברה שבנסיבות אלה על אף שדין המסייע הוא מחצית עונשו של העבריין העיקרי ונוכח מהות הסיוע הן בנהיגה ברכב והן בניסיון להסתיר את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חלקו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משמעותי ויש לתת ביטוי 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סברה כי מתחם העונש ההולם בעניינו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ובעניינו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נע 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לצד עונשים נלווים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tabs>
          <w:tab w:val="clear" w:pos="720"/>
          <w:tab w:val="left" w:pos="-142" w:leader="none"/>
        </w:tabs>
        <w:spacing w:before="0" w:after="0"/>
        <w:ind w:start="283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אשר לתיק שצירף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שעניינו בגניבת טלפון נייד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הדגישה המאשימה כי הטלפון לא הוחזר לבעליו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כן בנסיבות אלה מתחם העונש ההולם נע בין חודשיים מאסר ועד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לצד עונשים נלווים ופיצוי למתלוננת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לעונש בתוך המתחם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מאחר שמדובר בצעירים נעדרי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הודו במעשים המיוחסים להם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ולקחו אחריות עליהם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עתרה להטלת עונש בתחתית המתחמים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על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לצד מאסר מותנה וקנס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ובנוסף חודשיים מאסר בגין התיק שצורף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סך הכל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לצד מאסר מותנה ופיצוי למתלוננת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לצד מאסר מותנה וקנס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עתרה לחילוט רכבו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מאחר שמדובר ברכב ששימש לביצוע העבירה והפנתה לפסיקה לתמיכה בטיעוניה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שמתחם העונש ההולם צריך להתחיל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ולהסתיים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לגבי שתי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בשים לב לנסיבות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ולפסיקה שהגיש לתמיכה בטיעוניו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אשר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סבר כי העונש צריך לעמוד על מחצית העונש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יש להסתפק בימי מעצרו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לנסיבות שאינן קשורות לביצוע העבירה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נשוי ואב לשלושה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טרם מעצרו ניהל אורח חיים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 באופן מסודר לפרנסת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לו קווי אישיות עבריינים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במעידה חד פעמית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ויש לתת לו הזדמנות נוספת על מנת שיוכל לחזור לחיק משפחתו ולפרנסם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אשר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מדובר בצעיר ללא עבר פלילי שסיים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לימוד והתקבל ללימודי אופטיקה במכללת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הדסה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ואמור להתחילם בחודש ספטמבר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אביו מנהל סניף בתחום האופטיקה מזה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שנה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יוכל להשתלב בתחום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לו קווי אישיות עבריינית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משפחתו מגנה את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בן למשפחה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וטרם מעצרו תיפקד היטב בתחום הלימודים והתעסוקה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העבירות מהוות חריג בחייו ובחיי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ביקש מבית המשפט ליתן לו הזדמנות ולהסתפק בימי מעצרו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הצטרף לעמדת המאשימה לעתור לעונש בתחתית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כאמור סבר כי המתחם צריך להיות נמוך יותר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בדברו האחרון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התנצל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מסר כי מדובר בטעות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למד את הלקח ולא יחזור על מעשים מסוג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לחזור לילדיו אשר לא ראה אותם מזה עשרה 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התנצל אף הוא על מעשיו ומסר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בטעות שלא תחזור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למד את הלקח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לחזור לחיק משפחתו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ind w:end="0"/>
        <w:jc w:val="start"/>
        <w:rPr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ind w:end="0"/>
        <w:jc w:val="start"/>
        <w:rPr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 xml:space="preserve">בהתאם לאמור </w:t>
      </w:r>
      <w:hyperlink r:id="rId14">
        <w:r>
          <w:rPr>
            <w:rStyle w:val="Hyperlink"/>
            <w:color w:val="000000"/>
            <w:u w:val="none"/>
            <w:rtl w:val="true"/>
          </w:rPr>
          <w:t xml:space="preserve">בסעיף </w:t>
        </w:r>
        <w:r>
          <w:rPr>
            <w:rStyle w:val="Hyperlink"/>
            <w:color w:val="000000"/>
            <w:u w:val="none"/>
          </w:rPr>
          <w:t>40</w:t>
        </w:r>
        <w:r>
          <w:rPr>
            <w:rStyle w:val="Hyperlink"/>
            <w:color w:val="000000"/>
            <w:u w:val="none"/>
            <w:rtl w:val="true"/>
          </w:rPr>
          <w:t>ב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העיקרון המנחה בענישה הוא עיקרון ההלימה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יחס הולם בין חומרת מעשה העבירה ונסיבותיו ומידת אשמו של הנאשם</w:t>
      </w:r>
      <w:r>
        <w:rPr>
          <w:rtl w:val="true"/>
        </w:rPr>
        <w:t xml:space="preserve">, </w:t>
      </w:r>
      <w:r>
        <w:rPr>
          <w:rtl w:val="true"/>
        </w:rPr>
        <w:t>לבין סוג ומידת העונש המוטל עליו</w:t>
      </w:r>
      <w:r>
        <w:rPr>
          <w:rtl w:val="true"/>
        </w:rPr>
        <w:t xml:space="preserve">. </w:t>
      </w:r>
      <w:r>
        <w:rPr>
          <w:rtl w:val="true"/>
        </w:rPr>
        <w:t>בעת 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על בית המשפט להתחשב בערך החברתי שנפגע</w:t>
      </w:r>
      <w:r>
        <w:rPr>
          <w:rtl w:val="true"/>
        </w:rPr>
        <w:t xml:space="preserve">, </w:t>
      </w:r>
      <w:r>
        <w:rPr>
          <w:rtl w:val="true"/>
        </w:rPr>
        <w:t>במידת הפגיעה בו</w:t>
      </w:r>
      <w:r>
        <w:rPr>
          <w:rtl w:val="true"/>
        </w:rPr>
        <w:t xml:space="preserve">, </w:t>
      </w:r>
      <w:r>
        <w:rPr>
          <w:rtl w:val="true"/>
        </w:rPr>
        <w:t>במדיניות הענישה הנוהגת ובנסיבות הקשורות לביצוע העבירה</w:t>
      </w:r>
      <w:r>
        <w:rPr>
          <w:rtl w:val="true"/>
        </w:rPr>
        <w:t>.</w:t>
      </w:r>
    </w:p>
    <w:p>
      <w:pPr>
        <w:pStyle w:val="ListParagraph"/>
        <w:spacing w:before="0" w:after="0"/>
        <w:ind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Fonts w:eastAsia="David"/>
          <w:rtl w:val="true"/>
        </w:rPr>
        <w:t xml:space="preserve"> </w:t>
      </w:r>
      <w:r>
        <w:rPr>
          <w:rtl w:val="true"/>
        </w:rPr>
        <w:t>הערכים החברתיים עליהם יש להגן מפני אלה המבצעים עבירות בנשק</w:t>
      </w:r>
      <w:r>
        <w:rPr>
          <w:rtl w:val="true"/>
        </w:rPr>
        <w:t xml:space="preserve">, </w:t>
      </w:r>
      <w:r>
        <w:rPr>
          <w:rtl w:val="true"/>
        </w:rPr>
        <w:t>הם ההגנה על שלום הציבור וביטחונו</w:t>
      </w:r>
      <w:r>
        <w:rPr>
          <w:rtl w:val="true"/>
        </w:rPr>
        <w:t xml:space="preserve">, </w:t>
      </w:r>
      <w:r>
        <w:rPr>
          <w:rtl w:val="true"/>
        </w:rPr>
        <w:t>והיכולת לקיים שיגרת חיים תקינה</w:t>
      </w:r>
      <w:r>
        <w:rPr>
          <w:rtl w:val="true"/>
        </w:rPr>
        <w:t xml:space="preserve">, </w:t>
      </w:r>
      <w:r>
        <w:rPr>
          <w:rtl w:val="true"/>
        </w:rPr>
        <w:t>שמירה על שלמות גופו ורכושו של אדם ומניעת פגיעה משמעותית בו כתוצאה משימוש בנשק חם</w:t>
      </w:r>
      <w:r>
        <w:rPr>
          <w:rtl w:val="true"/>
        </w:rPr>
        <w:t xml:space="preserve">, </w:t>
      </w:r>
      <w:r>
        <w:rPr>
          <w:rtl w:val="true"/>
        </w:rPr>
        <w:t>על ידי מי שאינו מיומן בכך</w:t>
      </w:r>
      <w:r>
        <w:rPr>
          <w:rtl w:val="true"/>
        </w:rPr>
        <w:t xml:space="preserve">. </w:t>
      </w:r>
      <w:r>
        <w:rPr>
          <w:rtl w:val="true"/>
        </w:rPr>
        <w:t>בית המשפט העליון חזר פעם אחר פעם על החומרה הגלומה בעבירות נשק</w:t>
      </w:r>
      <w:r>
        <w:rPr>
          <w:rtl w:val="true"/>
        </w:rPr>
        <w:t xml:space="preserve">, </w:t>
      </w:r>
      <w:r>
        <w:rPr>
          <w:rtl w:val="true"/>
        </w:rPr>
        <w:t>ועל פוטנציאל הפגיעה בנפש וברכוש שעלולים להיגרם כתוצאה מהשימוש בו</w:t>
      </w:r>
      <w:r>
        <w:rPr>
          <w:rtl w:val="true"/>
        </w:rPr>
        <w:t xml:space="preserve">. </w:t>
      </w:r>
      <w:r>
        <w:rPr>
          <w:rtl w:val="true"/>
        </w:rPr>
        <w:t>עוד נפסק</w:t>
      </w:r>
      <w:r>
        <w:rPr>
          <w:rtl w:val="true"/>
        </w:rPr>
        <w:t xml:space="preserve">, </w:t>
      </w:r>
      <w:r>
        <w:rPr>
          <w:rtl w:val="true"/>
        </w:rPr>
        <w:t>כי בשל הסכנה הרבה הטמונה בעבירות הנשק</w:t>
      </w:r>
      <w:r>
        <w:rPr>
          <w:rtl w:val="true"/>
        </w:rPr>
        <w:t xml:space="preserve">, </w:t>
      </w:r>
      <w:r>
        <w:rPr>
          <w:rtl w:val="true"/>
        </w:rPr>
        <w:t>על בית המשפט לתת משקל משמעותי יותר לאינטרס הציבורי ולצורך להרתיע עבריינים מלבצע עבירות דומות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 הנסיבות האישיות של העבריין</w:t>
      </w:r>
      <w:r>
        <w:rPr>
          <w:rtl w:val="true"/>
        </w:rPr>
        <w:t>.</w:t>
      </w:r>
    </w:p>
    <w:p>
      <w:pPr>
        <w:pStyle w:val="ListParagraph"/>
        <w:tabs>
          <w:tab w:val="clear" w:pos="720"/>
          <w:tab w:val="left" w:pos="-142" w:leader="none"/>
        </w:tabs>
        <w:spacing w:before="0" w:after="0"/>
        <w:ind w:start="283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>
          <w:sz w:val="18"/>
          <w:szCs w:val="18"/>
        </w:rPr>
      </w:pPr>
      <w:r>
        <w:rPr>
          <w:rtl w:val="true"/>
        </w:rPr>
        <w:t>המגמה להחמיר בענישה בעבירות נשק באה לידי ביטוי בשורה ארוכה של פסקי דין שניתנו על ידי בית משפט העליון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5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 חסן נגד 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5.6.13</w:t>
      </w:r>
      <w:r>
        <w:rPr>
          <w:rtl w:val="true"/>
        </w:rPr>
        <w:t xml:space="preserve">), </w:t>
      </w:r>
      <w:r>
        <w:rPr>
          <w:rtl w:val="true"/>
        </w:rPr>
        <w:t>שם קבעה כבוד השופטת ע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>:</w:t>
      </w:r>
      <w:r>
        <w:rPr>
          <w:sz w:val="18"/>
          <w:szCs w:val="18"/>
          <w:rtl w:val="true"/>
        </w:rPr>
        <w:t xml:space="preserve"> </w:t>
      </w:r>
    </w:p>
    <w:p>
      <w:pPr>
        <w:pStyle w:val="ListParagraph"/>
        <w:shd w:fill="FFFFFF" w:val="clear"/>
        <w:spacing w:lineRule="atLeast" w:line="360" w:before="0" w:after="0"/>
        <w:ind w:start="510" w:end="340"/>
        <w:contextualSpacing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נוכח היקפן המתרחב של עבירות המבוצעות בנשק בכלל וסחר בנשק 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וזמינותו המדאיגה של נשק בלתי חוקי במחוזותינו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התעורר הצורך להחמיר בעונשי המאסר המוטלים בעבירות 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>, "</w:t>
      </w:r>
      <w:r>
        <w:rPr>
          <w:b/>
          <w:b/>
          <w:bCs/>
          <w:rtl w:val="true"/>
        </w:rPr>
        <w:t>התגלגלותם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 לדעת מה יעלה בגורלם של כלי נשק אלה ולאילו תוצאות הרסניות יובילו – בסכסוך ברחוב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בקטטה בין ניצים ואף בתוך המשפחה פנימה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הסכנה הנשקפת לציבור כתוצאה מעבירות 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 המימדים שאליהם הגיעו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הגנה על שלום הציבור מפני פגיעות בגוף או בנפש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בהדרגה</w:t>
      </w:r>
      <w:r>
        <w:rPr>
          <w:b/>
          <w:bCs/>
          <w:rtl w:val="true"/>
        </w:rPr>
        <w:t>".</w:t>
      </w:r>
    </w:p>
    <w:p>
      <w:pPr>
        <w:pStyle w:val="ListParagraph"/>
        <w:tabs>
          <w:tab w:val="clear" w:pos="720"/>
          <w:tab w:val="left" w:pos="-142" w:leader="none"/>
        </w:tabs>
        <w:spacing w:before="0" w:after="0"/>
        <w:ind w:start="283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מגמת ההחמרה בעבירות הנשק באה לאחרונה לידי ביטוי גם בדבריו של כב</w:t>
      </w:r>
      <w:r>
        <w:rPr>
          <w:rtl w:val="true"/>
        </w:rPr>
        <w:t xml:space="preserve">' </w:t>
      </w:r>
      <w:r>
        <w:rPr>
          <w:rtl w:val="true"/>
        </w:rPr>
        <w:t>השופט י</w:t>
      </w:r>
      <w:r>
        <w:rPr>
          <w:rtl w:val="true"/>
        </w:rPr>
        <w:t xml:space="preserve">' </w:t>
      </w:r>
      <w:r>
        <w:rPr>
          <w:rtl w:val="true"/>
        </w:rPr>
        <w:t>אלרון ב</w:t>
      </w:r>
      <w:hyperlink r:id="rId16">
        <w:r>
          <w:rPr>
            <w:rStyle w:val="Hyperlink"/>
            <w:color w:val="000000"/>
            <w:u w:val="none"/>
            <w:rtl w:val="true"/>
          </w:rPr>
          <w:t>רע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5613/20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אלהוזייל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25.08.20</w:t>
      </w:r>
      <w:r>
        <w:rPr>
          <w:rtl w:val="true"/>
        </w:rPr>
        <w:t xml:space="preserve">):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 בנשק הפכו בשנים האחרונות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למרבה הצער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לתופעה נפוצה בקרב אוכלוסיות שונות בחברה הישראלית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המביאה לעתים מזומנות לפגיעה בחפים מפשע ולאובדן חיי אדם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כתוצאה מכך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מנת לשדר מסר מרתיע מפני ביצוען</w:t>
      </w:r>
      <w:r>
        <w:rPr>
          <w:b/>
          <w:bCs/>
          <w:rtl w:val="true"/>
        </w:rPr>
        <w:t xml:space="preserve">." </w:t>
      </w:r>
      <w:r>
        <w:rPr>
          <w:rtl w:val="true"/>
        </w:rPr>
        <w:t>עוד ר</w:t>
      </w:r>
      <w:r>
        <w:rPr>
          <w:rtl w:val="true"/>
        </w:rPr>
        <w:t xml:space="preserve">' </w:t>
      </w:r>
      <w:r>
        <w:rPr>
          <w:rtl w:val="true"/>
        </w:rPr>
        <w:t>ב</w:t>
      </w:r>
      <w:hyperlink r:id="rId17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8017/20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פאדי גריפאת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22.12.2020</w:t>
      </w:r>
      <w:r>
        <w:rPr>
          <w:rtl w:val="true"/>
        </w:rPr>
        <w:t xml:space="preserve">):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 משפט זה עמד בשורה ארוכה של פסקי דין על החומרה היתרה של עבירות הנשק ועל הסכנה הגבוהה שנשקפת מהן לשלום הציבור ולביטחונו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גם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לאחרונה 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6068/21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פקיה </w:t>
      </w:r>
      <w:r>
        <w:rPr>
          <w:rtl w:val="true"/>
        </w:rPr>
        <w:t>(</w:t>
      </w:r>
      <w:r>
        <w:rPr/>
        <w:t>19.12.21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4456/21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אבו עבסה </w:t>
      </w:r>
      <w:r>
        <w:rPr>
          <w:rtl w:val="true"/>
        </w:rPr>
        <w:t>(</w:t>
      </w:r>
      <w:r>
        <w:rPr/>
        <w:t>23.1.22</w:t>
      </w:r>
      <w:r>
        <w:rPr>
          <w:rtl w:val="true"/>
        </w:rPr>
        <w:t>)).</w:t>
      </w:r>
    </w:p>
    <w:p>
      <w:pPr>
        <w:pStyle w:val="ListParagraph"/>
        <w:tabs>
          <w:tab w:val="clear" w:pos="720"/>
          <w:tab w:val="left" w:pos="-142" w:leader="none"/>
        </w:tabs>
        <w:spacing w:before="0" w:after="0"/>
        <w:ind w:start="283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>עוד נאמר</w:t>
      </w:r>
      <w:r>
        <w:rPr>
          <w:rtl w:val="true"/>
        </w:rPr>
        <w:t xml:space="preserve">, </w:t>
      </w:r>
      <w:r>
        <w:rPr>
          <w:rtl w:val="true"/>
        </w:rPr>
        <w:t>כי ביעור תופעת נשיאת והחזקת כלי נשק בלתי חוקיים הוא אינטרס ציבורי חשוב ותנאי הכרחי למאבק בתופעות הפשיעה האלימה לסוגיה</w:t>
      </w:r>
      <w:r>
        <w:rPr>
          <w:rtl w:val="true"/>
        </w:rPr>
        <w:t xml:space="preserve">, </w:t>
      </w:r>
      <w:r>
        <w:rPr>
          <w:rtl w:val="true"/>
        </w:rPr>
        <w:t>ויש לעשות כן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ענישה מחמירה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, </w:t>
      </w:r>
      <w:r>
        <w:rPr>
          <w:rtl w:val="true"/>
        </w:rPr>
        <w:t>דברי כב</w:t>
      </w:r>
      <w:r>
        <w:rPr>
          <w:rtl w:val="true"/>
        </w:rPr>
        <w:t xml:space="preserve">' </w:t>
      </w:r>
      <w:r>
        <w:rPr>
          <w:rtl w:val="true"/>
        </w:rPr>
        <w:t>השופט ע</w:t>
      </w:r>
      <w:r>
        <w:rPr>
          <w:rtl w:val="true"/>
        </w:rPr>
        <w:t xml:space="preserve">' </w:t>
      </w:r>
      <w:r>
        <w:rPr>
          <w:rtl w:val="true"/>
        </w:rPr>
        <w:t>גרוסקופף ב</w:t>
      </w:r>
      <w:hyperlink r:id="rId20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5446/19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הוארי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25.11.19</w:t>
      </w:r>
      <w:r>
        <w:rPr>
          <w:rtl w:val="true"/>
        </w:rPr>
        <w:t xml:space="preserve">)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 א</w:t>
      </w:r>
      <w:r>
        <w:rPr>
          <w:rtl w:val="true"/>
        </w:rPr>
        <w:t xml:space="preserve">' </w:t>
      </w:r>
      <w:r>
        <w:rPr>
          <w:rtl w:val="true"/>
        </w:rPr>
        <w:t>שטיין ב</w:t>
      </w:r>
      <w:hyperlink r:id="rId21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1509/20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נבארי </w:t>
      </w:r>
      <w:r>
        <w:rPr>
          <w:rtl w:val="true"/>
        </w:rPr>
        <w:t>(</w:t>
      </w:r>
      <w:r>
        <w:rPr/>
        <w:t>2.7.20</w:t>
      </w:r>
      <w:r>
        <w:rPr>
          <w:rtl w:val="true"/>
        </w:rPr>
        <w:t>)).</w:t>
      </w:r>
    </w:p>
    <w:p>
      <w:pPr>
        <w:pStyle w:val="ListParagraph"/>
        <w:tabs>
          <w:tab w:val="clear" w:pos="720"/>
          <w:tab w:val="left" w:pos="-142" w:leader="none"/>
        </w:tabs>
        <w:spacing w:before="0" w:after="0"/>
        <w:ind w:start="283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>העבירה של נשיאת נשק שלא כדין</w:t>
      </w:r>
      <w:r>
        <w:rPr>
          <w:rtl w:val="true"/>
        </w:rPr>
        <w:t xml:space="preserve">, </w:t>
      </w:r>
      <w:r>
        <w:rPr>
          <w:rtl w:val="true"/>
        </w:rPr>
        <w:t>חמורה יותר מהעבירה של החזקת נשק שלא כדין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נשיאת נשק ממוקמת קרוב יותר לסביבת התוצאה הפוגענית הפוטנציאלית</w:t>
      </w:r>
      <w:r>
        <w:rPr>
          <w:rtl w:val="true"/>
        </w:rPr>
        <w:t xml:space="preserve">, </w:t>
      </w:r>
      <w:r>
        <w:rPr>
          <w:rtl w:val="true"/>
        </w:rPr>
        <w:t>בהשוואה להחזקת נשק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העונש הקבוע לצד עבירת נשיאת הנשק הוא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בעוד שהעונש הקבוע לצד עבירת החזקת הנשק הוא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כבכל 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 בעבירות נשק קיים מדרג של חומרה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ושומה על בית המשפט להביאו בחשבון בבואו לקבוע את מתחם העונש ההולם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22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9702/16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אלוליאיה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>, (</w:t>
      </w:r>
      <w:r>
        <w:rPr/>
        <w:t>13.9.17</w:t>
      </w:r>
      <w:r>
        <w:rPr>
          <w:rtl w:val="true"/>
        </w:rPr>
        <w:t xml:space="preserve">)), </w:t>
      </w:r>
      <w:r>
        <w:rPr>
          <w:rtl w:val="true"/>
        </w:rPr>
        <w:t>על כן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בקביעת מתחם העונש ההולם בעבירות של נשיאת נשק יש לתת משקל לסוג הנשק</w:t>
      </w:r>
      <w:r>
        <w:rPr>
          <w:rtl w:val="true"/>
        </w:rPr>
        <w:t xml:space="preserve">, </w:t>
      </w:r>
      <w:r>
        <w:rPr>
          <w:rtl w:val="true"/>
        </w:rPr>
        <w:t>נסיבות תפיסתו</w:t>
      </w:r>
      <w:r>
        <w:rPr>
          <w:rtl w:val="true"/>
        </w:rPr>
        <w:t xml:space="preserve">, </w:t>
      </w:r>
      <w:r>
        <w:rPr>
          <w:rtl w:val="true"/>
        </w:rPr>
        <w:t>מידת קטלניותו ולכמותו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מיוחס משקל ממשי לתכלית הנשיאה</w:t>
      </w:r>
      <w:r>
        <w:rPr>
          <w:rtl w:val="true"/>
        </w:rPr>
        <w:t>.</w:t>
      </w:r>
    </w:p>
    <w:p>
      <w:pPr>
        <w:pStyle w:val="ListParagraph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>בחינת מדיניות הענישה הנהוגה מעלה</w:t>
      </w:r>
      <w:r>
        <w:rPr>
          <w:rtl w:val="true"/>
        </w:rPr>
        <w:t xml:space="preserve">, </w:t>
      </w:r>
      <w:r>
        <w:rPr>
          <w:rtl w:val="true"/>
        </w:rPr>
        <w:t>כי במקרים דומים של נשיאת אקדח ותחמושת הוטלו על נאשמים עונשי מאסר בפועל מאחורי סורג ובריח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>:</w:t>
      </w:r>
    </w:p>
    <w:p>
      <w:pPr>
        <w:pStyle w:val="ListParagraph"/>
        <w:ind w:start="36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4"/>
        </w:numPr>
        <w:shd w:fill="FFFFFF" w:val="clear"/>
        <w:tabs>
          <w:tab w:val="clear" w:pos="720"/>
          <w:tab w:val="left" w:pos="7938" w:leader="none"/>
        </w:tabs>
        <w:ind w:hanging="142" w:start="850" w:end="567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4345/18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חמודא אבו עמאר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29.11.2018</w:t>
      </w:r>
      <w:r>
        <w:rPr>
          <w:rtl w:val="true"/>
        </w:rPr>
        <w:t xml:space="preserve">) </w:t>
      </w:r>
      <w:r>
        <w:rPr>
          <w:rtl w:val="true"/>
        </w:rPr>
        <w:t xml:space="preserve">, </w:t>
      </w:r>
      <w:r>
        <w:rPr>
          <w:rtl w:val="true"/>
        </w:rPr>
        <w:t>המערער מצא נשק מאולתר טעון במחסנית</w:t>
      </w:r>
      <w:r>
        <w:rPr>
          <w:rtl w:val="true"/>
        </w:rPr>
        <w:t xml:space="preserve">, </w:t>
      </w:r>
      <w:r>
        <w:rPr>
          <w:rtl w:val="true"/>
        </w:rPr>
        <w:t>נשא את הנשק הטעון ברכבו</w:t>
      </w:r>
      <w:r>
        <w:rPr>
          <w:rtl w:val="true"/>
        </w:rPr>
        <w:t xml:space="preserve">, </w:t>
      </w:r>
      <w:r>
        <w:rPr>
          <w:rtl w:val="true"/>
        </w:rPr>
        <w:t>נסע בחוסר זהירות ונעצר</w:t>
      </w:r>
      <w:r>
        <w:rPr>
          <w:rtl w:val="true"/>
        </w:rPr>
        <w:t xml:space="preserve">. </w:t>
      </w:r>
      <w:r>
        <w:rPr>
          <w:rtl w:val="true"/>
        </w:rPr>
        <w:t>הוא הורשע בנשיאת נשק ותחמושת ונהיגה בקלות ראש</w:t>
      </w:r>
      <w:r>
        <w:rPr>
          <w:rtl w:val="true"/>
        </w:rPr>
        <w:t xml:space="preserve">. </w:t>
      </w:r>
      <w:r>
        <w:rPr>
          <w:rtl w:val="true"/>
        </w:rPr>
        <w:t>המערער נעדר עבר פלילי והוא שולב בטיפול</w:t>
      </w:r>
      <w:r>
        <w:rPr>
          <w:rtl w:val="true"/>
        </w:rPr>
        <w:t xml:space="preserve">, </w:t>
      </w:r>
      <w:r>
        <w:rPr>
          <w:rtl w:val="true"/>
        </w:rPr>
        <w:t>ושירות המבחן המליץ על צו מבחן ומאסר שירוצה בעבודות שירות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עונש הולם הנע בין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וגזר עליו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בית המשפט העליון קבע</w:t>
      </w:r>
      <w:r>
        <w:rPr>
          <w:rtl w:val="true"/>
        </w:rPr>
        <w:t xml:space="preserve">, </w:t>
      </w:r>
      <w:r>
        <w:rPr>
          <w:rtl w:val="true"/>
        </w:rPr>
        <w:t>כי אין להתערב במתחם העונש ההולם שנקבע</w:t>
      </w:r>
      <w:r>
        <w:rPr>
          <w:rtl w:val="true"/>
        </w:rPr>
        <w:t xml:space="preserve">. </w:t>
      </w:r>
      <w:r>
        <w:rPr>
          <w:rtl w:val="true"/>
        </w:rPr>
        <w:t xml:space="preserve">ובשל שיקולי שיקום סטה לקולה מהמתחם הקל בעונשו והשית עליו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ListParagraph"/>
        <w:shd w:fill="FFFFFF" w:val="clear"/>
        <w:tabs>
          <w:tab w:val="clear" w:pos="720"/>
          <w:tab w:val="left" w:pos="7938" w:leader="none"/>
        </w:tabs>
        <w:spacing w:before="0" w:after="0"/>
        <w:ind w:start="850" w:end="567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4"/>
        </w:numPr>
        <w:shd w:fill="FFFFFF" w:val="clear"/>
        <w:tabs>
          <w:tab w:val="clear" w:pos="720"/>
          <w:tab w:val="left" w:pos="7938" w:leader="none"/>
        </w:tabs>
        <w:spacing w:before="0" w:after="0"/>
        <w:ind w:hanging="142" w:start="850" w:end="567"/>
        <w:contextualSpacing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2564/19</w:t>
        </w:r>
        <w:r>
          <w:rPr>
            <w:rStyle w:val="Hyperlink"/>
            <w:color w:val="000000"/>
            <w:u w:val="non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u w:val="none"/>
            <w:rtl w:val="true"/>
          </w:rPr>
          <w:t>איברהים אזברגה נ</w:t>
        </w:r>
        <w:r>
          <w:rPr>
            <w:rStyle w:val="Hyperlink"/>
            <w:b/>
            <w:bCs/>
            <w:color w:val="000000"/>
            <w:u w:val="non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00"/>
            <w:u w:val="none"/>
            <w:rtl w:val="true"/>
          </w:rPr>
          <w:t>מדינת ישראל</w:t>
        </w:r>
        <w:r>
          <w:rPr>
            <w:rStyle w:val="Hyperlink"/>
            <w:color w:val="000000"/>
            <w:u w:val="none"/>
            <w:rtl w:val="true"/>
          </w:rPr>
          <w:t xml:space="preserve"> </w:t>
        </w:r>
        <w:r>
          <w:rPr>
            <w:rStyle w:val="Hyperlink"/>
            <w:color w:val="000000"/>
            <w:u w:val="none"/>
            <w:rtl w:val="true"/>
          </w:rPr>
          <w:t>(</w:t>
        </w:r>
        <w:r>
          <w:rPr>
            <w:rStyle w:val="Hyperlink"/>
            <w:color w:val="000000"/>
            <w:u w:val="none"/>
          </w:rPr>
          <w:t>18.07.2019</w:t>
        </w:r>
        <w:r>
          <w:rPr>
            <w:rStyle w:val="Hyperlink"/>
            <w:color w:val="000000"/>
            <w:u w:val="none"/>
            <w:rtl w:val="true"/>
          </w:rPr>
          <w:t>)‏</w:t>
        </w:r>
      </w:hyperlink>
      <w:r>
        <w:rPr>
          <w:rtl w:val="true"/>
        </w:rPr>
        <w:t xml:space="preserve">‏, </w:t>
      </w:r>
      <w:r>
        <w:rPr>
          <w:rtl w:val="true"/>
        </w:rPr>
        <w:t>נתפסו המערער ושותפו לכתב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בעת שנהגו ברכב כאשר הם נושאים עימם אקדח גנוב </w:t>
      </w:r>
      <w:r>
        <w:rPr>
          <w:rtl w:val="true"/>
        </w:rPr>
        <w:t>(</w:t>
      </w:r>
      <w:r>
        <w:rPr>
          <w:rtl w:val="true"/>
        </w:rPr>
        <w:t xml:space="preserve">קליבר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יחד עם מחסנית תואמת</w:t>
      </w:r>
      <w:r>
        <w:rPr>
          <w:rtl w:val="true"/>
        </w:rPr>
        <w:t xml:space="preserve">. </w:t>
      </w:r>
      <w:r>
        <w:rPr>
          <w:rtl w:val="true"/>
        </w:rPr>
        <w:t>המערער נעדר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ובית המשפט המחוזי השית עליו עונש מאסר של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הערעור על חומרת העונש נדחה</w:t>
      </w:r>
      <w:r>
        <w:rPr>
          <w:rtl w:val="true"/>
        </w:rPr>
        <w:t>.</w:t>
      </w:r>
    </w:p>
    <w:p>
      <w:pPr>
        <w:pStyle w:val="ListParagraph"/>
        <w:shd w:fill="FFFFFF" w:val="clear"/>
        <w:tabs>
          <w:tab w:val="clear" w:pos="720"/>
          <w:tab w:val="left" w:pos="7938" w:leader="none"/>
        </w:tabs>
        <w:ind w:start="850" w:end="567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4"/>
        </w:numPr>
        <w:shd w:fill="FFFFFF" w:val="clear"/>
        <w:tabs>
          <w:tab w:val="clear" w:pos="720"/>
          <w:tab w:val="left" w:pos="7938" w:leader="none"/>
        </w:tabs>
        <w:ind w:hanging="142" w:start="850" w:end="567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7177/20</w:t>
        </w:r>
        <w:r>
          <w:rPr>
            <w:rStyle w:val="Hyperlink"/>
            <w:color w:val="000000"/>
            <w:u w:val="non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u w:val="none"/>
            <w:rtl w:val="true"/>
          </w:rPr>
          <w:t>ג</w:t>
        </w:r>
        <w:r>
          <w:rPr>
            <w:rStyle w:val="Hyperlink"/>
            <w:b/>
            <w:bCs/>
            <w:color w:val="000000"/>
            <w:u w:val="none"/>
            <w:rtl w:val="true"/>
          </w:rPr>
          <w:t>'</w:t>
        </w:r>
        <w:r>
          <w:rPr>
            <w:rStyle w:val="Hyperlink"/>
            <w:b/>
            <w:b/>
            <w:bCs/>
            <w:color w:val="000000"/>
            <w:u w:val="none"/>
            <w:rtl w:val="true"/>
          </w:rPr>
          <w:t>יהאד כנעאן נ</w:t>
        </w:r>
        <w:r>
          <w:rPr>
            <w:rStyle w:val="Hyperlink"/>
            <w:b/>
            <w:bCs/>
            <w:color w:val="000000"/>
            <w:u w:val="non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00"/>
            <w:u w:val="none"/>
            <w:rtl w:val="true"/>
          </w:rPr>
          <w:t>מדינת ישראל</w:t>
        </w:r>
        <w:r>
          <w:rPr>
            <w:rStyle w:val="Hyperlink"/>
            <w:color w:val="000000"/>
            <w:u w:val="none"/>
            <w:rtl w:val="true"/>
          </w:rPr>
          <w:t xml:space="preserve"> </w:t>
        </w:r>
        <w:r>
          <w:rPr>
            <w:rStyle w:val="Hyperlink"/>
            <w:color w:val="000000"/>
            <w:u w:val="none"/>
            <w:rtl w:val="true"/>
          </w:rPr>
          <w:t>(</w:t>
        </w:r>
        <w:r>
          <w:rPr>
            <w:rStyle w:val="Hyperlink"/>
            <w:color w:val="000000"/>
            <w:u w:val="none"/>
          </w:rPr>
          <w:t>27.01.2021</w:t>
        </w:r>
        <w:r>
          <w:rPr>
            <w:rStyle w:val="Hyperlink"/>
            <w:color w:val="000000"/>
            <w:u w:val="none"/>
            <w:rtl w:val="true"/>
          </w:rPr>
          <w:t>)‏</w:t>
        </w:r>
      </w:hyperlink>
      <w:r>
        <w:rPr>
          <w:rtl w:val="true"/>
        </w:rPr>
        <w:t xml:space="preserve">‏, </w:t>
      </w:r>
      <w:r>
        <w:rPr>
          <w:rtl w:val="true"/>
        </w:rPr>
        <w:t>הורשע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נשיאת נשק לפי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לחוק</w:t>
      </w:r>
      <w:r>
        <w:rPr>
          <w:rtl w:val="true"/>
        </w:rPr>
        <w:t xml:space="preserve">, </w:t>
      </w:r>
      <w:r>
        <w:rPr>
          <w:rtl w:val="true"/>
        </w:rPr>
        <w:t>בכך שיצא מפתח ביתו של שכנו</w:t>
      </w:r>
      <w:r>
        <w:rPr>
          <w:rtl w:val="true"/>
        </w:rPr>
        <w:t xml:space="preserve">, </w:t>
      </w:r>
      <w:r>
        <w:rPr>
          <w:rtl w:val="true"/>
        </w:rPr>
        <w:t>הוציא אקדח</w:t>
      </w:r>
      <w:r>
        <w:rPr>
          <w:rtl w:val="true"/>
        </w:rPr>
        <w:t xml:space="preserve">, </w:t>
      </w:r>
      <w:r>
        <w:rPr>
          <w:rtl w:val="true"/>
        </w:rPr>
        <w:t>הכניס לתוכו מחסנית טעונה</w:t>
      </w:r>
      <w:r>
        <w:rPr>
          <w:rtl w:val="true"/>
        </w:rPr>
        <w:t xml:space="preserve">, </w:t>
      </w:r>
      <w:r>
        <w:rPr>
          <w:rtl w:val="true"/>
        </w:rPr>
        <w:t>דרך את האקדח ובחלוף מספר דקות פרק את האקדח והעביר אותו לאדם אחר</w:t>
      </w:r>
      <w:r>
        <w:rPr>
          <w:rtl w:val="true"/>
        </w:rPr>
        <w:t xml:space="preserve">. </w:t>
      </w:r>
      <w:r>
        <w:rPr>
          <w:rtl w:val="true"/>
        </w:rPr>
        <w:t>בית המשפט המחוזי השית על המערער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עונש מאסר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הערעור על חומרת העונש נדחה</w:t>
      </w:r>
      <w:r>
        <w:rPr>
          <w:rtl w:val="true"/>
        </w:rPr>
        <w:t xml:space="preserve">. </w:t>
      </w:r>
    </w:p>
    <w:p>
      <w:pPr>
        <w:pStyle w:val="ListParagraph"/>
        <w:ind w:start="36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4"/>
        </w:numPr>
        <w:shd w:fill="FFFFFF" w:val="clear"/>
        <w:tabs>
          <w:tab w:val="clear" w:pos="720"/>
          <w:tab w:val="left" w:pos="7938" w:leader="none"/>
        </w:tabs>
        <w:spacing w:before="0" w:after="0"/>
        <w:ind w:hanging="142" w:start="851" w:end="567"/>
        <w:contextualSpacing/>
        <w:jc w:val="both"/>
        <w:rPr/>
      </w:pPr>
      <w:r>
        <w:rPr>
          <w:shd w:fill="FFFFFF" w:val="clear"/>
          <w:rtl w:val="true"/>
        </w:rPr>
        <w:t>ב</w:t>
      </w:r>
      <w:hyperlink r:id="rId27">
        <w:r>
          <w:rPr>
            <w:rStyle w:val="Hyperlink"/>
            <w:color w:val="000000"/>
            <w:shd w:fill="FFFFFF" w:val="clear"/>
            <w:rtl w:val="true"/>
          </w:rPr>
          <w:t>ע</w:t>
        </w:r>
        <w:r>
          <w:rPr>
            <w:rStyle w:val="Hyperlink"/>
            <w:color w:val="000000"/>
            <w:shd w:fill="FFFFFF" w:val="clear"/>
            <w:rtl w:val="true"/>
          </w:rPr>
          <w:t>"</w:t>
        </w:r>
        <w:r>
          <w:rPr>
            <w:rStyle w:val="Hyperlink"/>
            <w:color w:val="000000"/>
            <w:shd w:fill="FFFFFF" w:val="clear"/>
            <w:rtl w:val="true"/>
          </w:rPr>
          <w:t xml:space="preserve">פ </w:t>
        </w:r>
        <w:r>
          <w:rPr>
            <w:rStyle w:val="Hyperlink"/>
            <w:color w:val="000000"/>
            <w:shd w:fill="FFFFFF" w:val="clear"/>
          </w:rPr>
          <w:t>5765/20</w:t>
        </w:r>
      </w:hyperlink>
      <w:r>
        <w:rPr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וסים אבו בכר נ</w:t>
      </w:r>
      <w:r>
        <w:rPr>
          <w:b/>
          <w:bCs/>
          <w:shd w:fill="FFFFFF" w:val="clear"/>
          <w:rtl w:val="true"/>
        </w:rPr>
        <w:t xml:space="preserve">' </w:t>
      </w:r>
      <w:r>
        <w:rPr>
          <w:b/>
          <w:b/>
          <w:bCs/>
          <w:shd w:fill="FFFFFF" w:val="clear"/>
          <w:rtl w:val="true"/>
        </w:rPr>
        <w:t>מדינת ישראל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22.03.2021</w:t>
      </w:r>
      <w:r>
        <w:rPr>
          <w:shd w:fill="FFFFFF" w:val="clear"/>
          <w:rtl w:val="true"/>
        </w:rPr>
        <w:t xml:space="preserve">) 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נתפסו המערערים במהלך סיור משטרתי בעת שנהגו ברכב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כשהם נושאים עימם שני אקדחים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 xml:space="preserve">מסוג יריחו ומסוג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FN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כשלכל אקדח מחסנית מלאה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בית המשפט המחוזי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לאחר ששקל את העובדה כי המערערים נעדרי עבר פלילי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השית עליהם עונש מאסר של </w:t>
      </w:r>
      <w:r>
        <w:rPr>
          <w:shd w:fill="FFFFFF" w:val="clear"/>
        </w:rPr>
        <w:t>18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חודשים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הערעור על חומרת העונש נדחה</w:t>
      </w:r>
      <w:r>
        <w:rPr>
          <w:shd w:fill="FFFFFF" w:val="clear"/>
          <w:rtl w:val="true"/>
        </w:rPr>
        <w:t>.</w:t>
      </w:r>
    </w:p>
    <w:p>
      <w:pPr>
        <w:pStyle w:val="ListParagraph"/>
        <w:shd w:fill="FFFFFF" w:val="clear"/>
        <w:tabs>
          <w:tab w:val="clear" w:pos="720"/>
          <w:tab w:val="left" w:pos="7938" w:leader="none"/>
        </w:tabs>
        <w:spacing w:before="0" w:after="0"/>
        <w:ind w:start="851" w:end="567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4"/>
        </w:numPr>
        <w:shd w:fill="FFFFFF" w:val="clear"/>
        <w:tabs>
          <w:tab w:val="clear" w:pos="720"/>
          <w:tab w:val="left" w:pos="7938" w:leader="none"/>
        </w:tabs>
        <w:spacing w:before="0" w:after="0"/>
        <w:ind w:hanging="142" w:start="851" w:end="567"/>
        <w:contextualSpacing/>
        <w:jc w:val="both"/>
        <w:rPr>
          <w:sz w:val="22"/>
          <w:szCs w:val="22"/>
        </w:rPr>
      </w:pPr>
      <w:r>
        <w:rPr>
          <w:rtl w:val="true"/>
        </w:rPr>
        <w:t>ב</w:t>
      </w:r>
      <w:hyperlink r:id="rId28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545/20</w:t>
        </w:r>
        <w:r>
          <w:rPr>
            <w:rStyle w:val="Hyperlink"/>
            <w:color w:val="000000"/>
            <w:u w:val="non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u w:val="none"/>
            <w:rtl w:val="true"/>
          </w:rPr>
          <w:t>פלוני נ</w:t>
        </w:r>
        <w:r>
          <w:rPr>
            <w:rStyle w:val="Hyperlink"/>
            <w:b/>
            <w:bCs/>
            <w:color w:val="000000"/>
            <w:u w:val="non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00"/>
            <w:u w:val="none"/>
            <w:rtl w:val="true"/>
          </w:rPr>
          <w:t>מדינת ישראל</w:t>
        </w:r>
        <w:r>
          <w:rPr>
            <w:rStyle w:val="Hyperlink"/>
            <w:color w:val="000000"/>
            <w:u w:val="none"/>
            <w:rtl w:val="true"/>
          </w:rPr>
          <w:t xml:space="preserve"> </w:t>
        </w:r>
        <w:r>
          <w:rPr>
            <w:rStyle w:val="Hyperlink"/>
            <w:color w:val="000000"/>
            <w:u w:val="none"/>
            <w:rtl w:val="true"/>
          </w:rPr>
          <w:t>(</w:t>
        </w:r>
        <w:r>
          <w:rPr>
            <w:rStyle w:val="Hyperlink"/>
            <w:color w:val="000000"/>
            <w:u w:val="none"/>
          </w:rPr>
          <w:t>03.05.2021</w:t>
        </w:r>
        <w:r>
          <w:rPr>
            <w:rStyle w:val="Hyperlink"/>
            <w:color w:val="000000"/>
            <w:u w:val="none"/>
            <w:rtl w:val="true"/>
          </w:rPr>
          <w:t>)‏</w:t>
        </w:r>
      </w:hyperlink>
      <w:r>
        <w:rPr>
          <w:rtl w:val="true"/>
        </w:rPr>
        <w:t xml:space="preserve">‏, </w:t>
      </w:r>
      <w:r>
        <w:rPr>
          <w:rtl w:val="true"/>
        </w:rPr>
        <w:t>נתפס המערער בעת שנהג ברכב</w:t>
      </w:r>
      <w:r>
        <w:rPr>
          <w:rtl w:val="true"/>
        </w:rPr>
        <w:t xml:space="preserve">, </w:t>
      </w:r>
      <w:r>
        <w:rPr>
          <w:rtl w:val="true"/>
        </w:rPr>
        <w:t>כאשר הוא נושא תחמושת ואקדח טעון במחסנית ריקה תואמת מתחת למושב הנהג ברכב</w:t>
      </w:r>
      <w:r>
        <w:rPr>
          <w:rtl w:val="true"/>
        </w:rPr>
        <w:t xml:space="preserve">. </w:t>
      </w:r>
      <w:r>
        <w:rPr>
          <w:rtl w:val="true"/>
        </w:rPr>
        <w:t>בית המשפט המחוזי</w:t>
      </w:r>
      <w:r>
        <w:rPr>
          <w:rtl w:val="true"/>
        </w:rPr>
        <w:t xml:space="preserve">, </w:t>
      </w:r>
      <w:r>
        <w:rPr>
          <w:rtl w:val="true"/>
        </w:rPr>
        <w:t>לאחר ששקל כי למערער אין עבר</w:t>
      </w:r>
      <w:r>
        <w:rPr>
          <w:rtl w:val="true"/>
        </w:rPr>
        <w:t xml:space="preserve">, </w:t>
      </w:r>
      <w:r>
        <w:rPr>
          <w:rtl w:val="true"/>
        </w:rPr>
        <w:t xml:space="preserve">השית עליו עונש מאסר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הערעור על חומרת העונש נדחה</w:t>
      </w:r>
      <w:r>
        <w:rPr>
          <w:rtl w:val="true"/>
        </w:rPr>
        <w:t>.</w:t>
      </w:r>
    </w:p>
    <w:p>
      <w:pPr>
        <w:pStyle w:val="ListParagraph"/>
        <w:shd w:fill="FFFFFF" w:val="clear"/>
        <w:tabs>
          <w:tab w:val="clear" w:pos="720"/>
          <w:tab w:val="left" w:pos="7938" w:leader="none"/>
        </w:tabs>
        <w:spacing w:before="0" w:after="0"/>
        <w:ind w:start="851" w:end="567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hd w:fill="FFFFFF" w:val="clear"/>
        <w:spacing w:before="0" w:after="0"/>
        <w:ind w:firstLine="720" w:start="360" w:end="0"/>
        <w:contextualSpacing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ListParagraph"/>
        <w:numPr>
          <w:ilvl w:val="1"/>
          <w:numId w:val="4"/>
        </w:numPr>
        <w:shd w:fill="FFFFFF" w:val="clear"/>
        <w:tabs>
          <w:tab w:val="clear" w:pos="720"/>
          <w:tab w:val="left" w:pos="7938" w:leader="none"/>
        </w:tabs>
        <w:spacing w:before="0" w:after="0"/>
        <w:ind w:hanging="142" w:start="850" w:end="567"/>
        <w:contextualSpacing/>
        <w:jc w:val="both"/>
        <w:rPr/>
      </w:pPr>
      <w:r>
        <w:rPr>
          <w:rtl w:val="true"/>
        </w:rPr>
        <w:t>ב</w:t>
      </w:r>
      <w:hyperlink r:id="rId29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2101/21</w:t>
        </w:r>
        <w:r>
          <w:rPr>
            <w:rStyle w:val="Hyperlink"/>
            <w:color w:val="000000"/>
            <w:u w:val="non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u w:val="none"/>
            <w:rtl w:val="true"/>
          </w:rPr>
          <w:t>תומר טוביה נ</w:t>
        </w:r>
        <w:r>
          <w:rPr>
            <w:rStyle w:val="Hyperlink"/>
            <w:b/>
            <w:bCs/>
            <w:color w:val="000000"/>
            <w:u w:val="non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00"/>
            <w:u w:val="none"/>
            <w:rtl w:val="true"/>
          </w:rPr>
          <w:t>מדינת ישראל</w:t>
        </w:r>
        <w:r>
          <w:rPr>
            <w:rStyle w:val="Hyperlink"/>
            <w:color w:val="000000"/>
            <w:u w:val="none"/>
            <w:rtl w:val="true"/>
          </w:rPr>
          <w:t xml:space="preserve"> </w:t>
        </w:r>
        <w:r>
          <w:rPr>
            <w:rStyle w:val="Hyperlink"/>
            <w:color w:val="000000"/>
            <w:u w:val="none"/>
            <w:rtl w:val="true"/>
          </w:rPr>
          <w:t>(</w:t>
        </w:r>
        <w:r>
          <w:rPr>
            <w:rStyle w:val="Hyperlink"/>
            <w:color w:val="000000"/>
            <w:u w:val="none"/>
          </w:rPr>
          <w:t>29.07.2021</w:t>
        </w:r>
        <w:r>
          <w:rPr>
            <w:rStyle w:val="Hyperlink"/>
            <w:color w:val="000000"/>
            <w:u w:val="none"/>
            <w:rtl w:val="true"/>
          </w:rPr>
          <w:t>),‏</w:t>
        </w:r>
      </w:hyperlink>
      <w:r>
        <w:rPr>
          <w:rtl w:val="true"/>
        </w:rPr>
        <w:t xml:space="preserve">‏ </w:t>
      </w:r>
      <w:r>
        <w:rPr>
          <w:rtl w:val="true"/>
        </w:rPr>
        <w:t xml:space="preserve">נתפס המערער במהלך נסיעה </w:t>
      </w:r>
      <w:r>
        <w:rPr>
          <w:rStyle w:val="Hyperlink"/>
          <w:rtl w:val="true"/>
        </w:rPr>
        <w:t>ברכב</w:t>
      </w:r>
      <w:r>
        <w:rPr>
          <w:rtl w:val="true"/>
        </w:rPr>
        <w:t xml:space="preserve"> יחד עם אחרים</w:t>
      </w:r>
      <w:r>
        <w:rPr>
          <w:rtl w:val="true"/>
        </w:rPr>
        <w:t xml:space="preserve">, </w:t>
      </w:r>
      <w:r>
        <w:rPr>
          <w:rtl w:val="true"/>
        </w:rPr>
        <w:t>כשהוא נושא אקדח חצי אוטומטי</w:t>
      </w:r>
      <w:r>
        <w:rPr>
          <w:rtl w:val="true"/>
        </w:rPr>
        <w:t xml:space="preserve">, </w:t>
      </w:r>
      <w:r>
        <w:rPr>
          <w:rtl w:val="true"/>
        </w:rPr>
        <w:t>מחסנית שמתאימה לו וארבעה כדורי אקדח מתאימים</w:t>
      </w:r>
      <w:r>
        <w:rPr>
          <w:rtl w:val="true"/>
        </w:rPr>
        <w:t xml:space="preserve">. </w:t>
      </w:r>
      <w:r>
        <w:rPr>
          <w:rtl w:val="true"/>
        </w:rPr>
        <w:t>בשלב מסוים הבחין המערער בשוטרים</w:t>
      </w:r>
      <w:r>
        <w:rPr>
          <w:rtl w:val="true"/>
        </w:rPr>
        <w:t xml:space="preserve">, </w:t>
      </w:r>
      <w:r>
        <w:rPr>
          <w:rtl w:val="true"/>
        </w:rPr>
        <w:t>יצא מן הרכב והחל לרוץ</w:t>
      </w:r>
      <w:r>
        <w:rPr>
          <w:rtl w:val="true"/>
        </w:rPr>
        <w:t xml:space="preserve">. </w:t>
      </w:r>
      <w:r>
        <w:rPr>
          <w:rtl w:val="true"/>
        </w:rPr>
        <w:t>בעת המרדף השליך את האקדח</w:t>
      </w:r>
      <w:r>
        <w:rPr>
          <w:rtl w:val="true"/>
        </w:rPr>
        <w:t xml:space="preserve">, </w:t>
      </w:r>
      <w:r>
        <w:rPr>
          <w:rtl w:val="true"/>
        </w:rPr>
        <w:t>המחסנית והכדורים הצידה</w:t>
      </w:r>
      <w:r>
        <w:rPr>
          <w:rtl w:val="true"/>
        </w:rPr>
        <w:t xml:space="preserve">. </w:t>
      </w:r>
      <w:r>
        <w:rPr>
          <w:rtl w:val="true"/>
        </w:rPr>
        <w:t>בית המשפט המחוזי</w:t>
      </w:r>
      <w:r>
        <w:rPr>
          <w:rtl w:val="true"/>
        </w:rPr>
        <w:t xml:space="preserve">, </w:t>
      </w:r>
      <w:r>
        <w:rPr>
          <w:rtl w:val="true"/>
        </w:rPr>
        <w:t>לאחר ששקל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את העובדה כי המערער בעל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השית עליו מאסר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הערעור על חומרת העונש נדחה</w:t>
      </w:r>
      <w:r>
        <w:rPr>
          <w:rtl w:val="true"/>
        </w:rPr>
        <w:t>.</w:t>
      </w:r>
    </w:p>
    <w:p>
      <w:pPr>
        <w:pStyle w:val="ListParagraph"/>
        <w:shd w:fill="FFFFFF" w:val="clear"/>
        <w:tabs>
          <w:tab w:val="clear" w:pos="720"/>
          <w:tab w:val="left" w:pos="7938" w:leader="none"/>
        </w:tabs>
        <w:spacing w:before="0" w:after="0"/>
        <w:ind w:start="850" w:end="567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>בחינת מדיניות הענישה הנהוגה מעלה</w:t>
      </w:r>
      <w:r>
        <w:rPr>
          <w:rtl w:val="true"/>
        </w:rPr>
        <w:t xml:space="preserve">, </w:t>
      </w:r>
      <w:r>
        <w:rPr>
          <w:rtl w:val="true"/>
        </w:rPr>
        <w:t>כי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גם כאשר מדובר בקשירת קשר </w:t>
      </w:r>
      <w:r>
        <w:rPr>
          <w:rtl w:val="true"/>
        </w:rPr>
        <w:t>"</w:t>
      </w:r>
      <w:r>
        <w:rPr>
          <w:rtl w:val="true"/>
        </w:rPr>
        <w:t>בלבד</w:t>
      </w:r>
      <w:r>
        <w:rPr>
          <w:rtl w:val="true"/>
        </w:rPr>
        <w:t xml:space="preserve">", </w:t>
      </w:r>
      <w:r>
        <w:rPr>
          <w:rtl w:val="true"/>
        </w:rPr>
        <w:t>הוטלו על נאשמים עונשי מאסר בפועל מאחורי סורג ובריח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 xml:space="preserve">: </w:t>
      </w:r>
    </w:p>
    <w:p>
      <w:pPr>
        <w:pStyle w:val="ListParagraph"/>
        <w:shd w:fill="FFFFFF" w:val="clear"/>
        <w:ind w:start="502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ind w:hanging="360" w:start="862" w:end="0"/>
        <w:jc w:val="both"/>
        <w:rPr/>
      </w:pP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3138/11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עפיף הייבי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17.05.2011</w:t>
      </w:r>
      <w:r>
        <w:rPr>
          <w:rtl w:val="true"/>
        </w:rPr>
        <w:t xml:space="preserve">)‏‏, </w:t>
      </w:r>
      <w:r>
        <w:rPr>
          <w:rtl w:val="true"/>
        </w:rPr>
        <w:t>הורשע המערער על פי הודאתו בקשירת קשר לפשע ובניסיון לסחר בנשק</w:t>
      </w:r>
      <w:r>
        <w:rPr>
          <w:rtl w:val="true"/>
        </w:rPr>
        <w:t xml:space="preserve">, </w:t>
      </w:r>
      <w:r>
        <w:rPr>
          <w:rtl w:val="true"/>
        </w:rPr>
        <w:t>על רקע ניסיונו למכור אקדח לסוכן משטרתי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הושת עליו עונש מאסר בפועל של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ערעור על חומרת העונש נדחה</w:t>
      </w:r>
      <w:r>
        <w:rPr>
          <w:rtl w:val="true"/>
        </w:rPr>
        <w:t>.</w:t>
      </w:r>
    </w:p>
    <w:p>
      <w:pPr>
        <w:pStyle w:val="ListParagraph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ind w:hanging="360" w:start="862" w:end="0"/>
        <w:jc w:val="both"/>
        <w:rPr/>
      </w:pP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8866/11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חמזה חאג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22.03.2012</w:t>
      </w:r>
      <w:r>
        <w:rPr>
          <w:rtl w:val="true"/>
        </w:rPr>
        <w:t xml:space="preserve">)‏‏, </w:t>
      </w:r>
      <w:r>
        <w:rPr>
          <w:rtl w:val="true"/>
        </w:rPr>
        <w:t>הורשע הנאשם על פי הודאתו בקשירת קשר לפשע ובניסיון לסיוע לסחר בנשק שלא כדין</w:t>
      </w:r>
      <w:r>
        <w:rPr>
          <w:rtl w:val="true"/>
        </w:rPr>
        <w:t xml:space="preserve">. </w:t>
      </w:r>
      <w:r>
        <w:rPr>
          <w:rtl w:val="true"/>
        </w:rPr>
        <w:t>הנאשם נפגש עם סוכן משטרתי</w:t>
      </w:r>
      <w:r>
        <w:rPr>
          <w:rtl w:val="true"/>
        </w:rPr>
        <w:t xml:space="preserve">, </w:t>
      </w:r>
      <w:r>
        <w:rPr>
          <w:rtl w:val="true"/>
        </w:rPr>
        <w:t xml:space="preserve">וסיכם עמו למכור לו רובה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 xml:space="preserve">תמורת </w:t>
      </w:r>
      <w:r>
        <w:rPr/>
        <w:t>70,000</w:t>
      </w:r>
      <w:r>
        <w:rPr>
          <w:rtl w:val="true"/>
        </w:rPr>
        <w:t xml:space="preserve"> ₪, </w:t>
      </w:r>
      <w:r>
        <w:rPr>
          <w:rtl w:val="true"/>
        </w:rPr>
        <w:t>וכן שוחח אתו על אפשרות למכור לו כלי נשק נוספים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השית עליו 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מותנה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ערעור על חומרת העונש נדחה</w:t>
      </w:r>
      <w:r>
        <w:rPr>
          <w:rtl w:val="true"/>
        </w:rPr>
        <w:t>.</w:t>
      </w:r>
    </w:p>
    <w:p>
      <w:pPr>
        <w:pStyle w:val="ListParagraph"/>
        <w:ind w:start="862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ind w:hanging="360" w:start="862" w:end="0"/>
        <w:jc w:val="both"/>
        <w:rPr/>
      </w:pP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6985/12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אחמד נגד 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17.3.2013</w:t>
      </w:r>
      <w:r>
        <w:rPr>
          <w:rtl w:val="true"/>
        </w:rPr>
        <w:t xml:space="preserve">),  </w:t>
      </w:r>
      <w:r>
        <w:rPr>
          <w:rtl w:val="true"/>
        </w:rPr>
        <w:t>הורשע המערער על פי הודאתו בעבירה של 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בכך שקשר עם אחר למכור לו אקדח בתמורה לסך </w:t>
      </w:r>
      <w:r>
        <w:rPr/>
        <w:t>11,000</w:t>
      </w:r>
      <w:r>
        <w:rPr>
          <w:rtl w:val="true"/>
        </w:rPr>
        <w:t xml:space="preserve"> ₪. </w:t>
      </w:r>
      <w:r>
        <w:rPr>
          <w:rtl w:val="true"/>
        </w:rPr>
        <w:t>שירות המבחן נמנע מהמלצה טיפולית</w:t>
      </w:r>
      <w:r>
        <w:rPr>
          <w:rtl w:val="true"/>
        </w:rPr>
        <w:t xml:space="preserve">. </w:t>
      </w:r>
      <w:r>
        <w:rPr>
          <w:rtl w:val="true"/>
        </w:rPr>
        <w:t>על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שהיה כבן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ונעדר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הושת עונש מאסר בפועל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ערעור על חומרת העונש נדחה</w:t>
      </w:r>
      <w:r>
        <w:rPr>
          <w:rtl w:val="true"/>
        </w:rPr>
        <w:t>.</w:t>
      </w:r>
    </w:p>
    <w:p>
      <w:pPr>
        <w:pStyle w:val="ListParagraph"/>
        <w:ind w:start="862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ind w:hanging="360" w:start="862" w:end="0"/>
        <w:jc w:val="both"/>
        <w:rPr/>
      </w:pP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5295/15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23.12.2015</w:t>
      </w:r>
      <w:r>
        <w:rPr>
          <w:rtl w:val="true"/>
        </w:rPr>
        <w:t xml:space="preserve">), </w:t>
      </w:r>
      <w:r>
        <w:rPr>
          <w:rtl w:val="true"/>
        </w:rPr>
        <w:t xml:space="preserve">הורשע הנאשם במסגרת הסדר דיוני בעבירה אחת של קשירת קשר לפשע </w:t>
      </w:r>
      <w:r>
        <w:rPr>
          <w:rtl w:val="true"/>
        </w:rPr>
        <w:t>(</w:t>
      </w:r>
      <w:r>
        <w:rPr>
          <w:rtl w:val="true"/>
        </w:rPr>
        <w:t>סחר בנשק</w:t>
      </w:r>
      <w:r>
        <w:rPr>
          <w:rtl w:val="true"/>
        </w:rPr>
        <w:t xml:space="preserve">), </w:t>
      </w:r>
      <w:r>
        <w:rPr>
          <w:rtl w:val="true"/>
        </w:rPr>
        <w:t>בכך שסיכם עם נאשם אחר כי יאתר נשק שירכוש אותו הנאשם למטרות סחר</w:t>
      </w:r>
      <w:r>
        <w:rPr>
          <w:rtl w:val="true"/>
        </w:rPr>
        <w:t xml:space="preserve">, </w:t>
      </w:r>
      <w:r>
        <w:rPr>
          <w:rtl w:val="true"/>
        </w:rPr>
        <w:t xml:space="preserve">והוא אכן איתר אקדח בעלות של </w:t>
      </w:r>
      <w:r>
        <w:rPr/>
        <w:t>11,000</w:t>
      </w:r>
      <w:r>
        <w:rPr>
          <w:rtl w:val="true"/>
        </w:rPr>
        <w:t xml:space="preserve"> ₪.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 xml:space="preserve">כי מתחם העונש נע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לבין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והוא נדון 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מותנה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ערעורו על חומרת העונש נדחה</w:t>
      </w:r>
      <w:r>
        <w:rPr>
          <w:rtl w:val="true"/>
        </w:rPr>
        <w:t>.</w:t>
      </w:r>
    </w:p>
    <w:p>
      <w:pPr>
        <w:pStyle w:val="ListParagraph"/>
        <w:ind w:start="862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>
          <w:sz w:val="10"/>
          <w:szCs w:val="10"/>
        </w:rPr>
      </w:pPr>
      <w:r>
        <w:rPr>
          <w:rtl w:val="true"/>
        </w:rPr>
        <w:t>אשר לנסיבות הקשורות בביצוע העבירה  – מחד גיסא</w:t>
      </w:r>
      <w:r>
        <w:rPr>
          <w:rtl w:val="true"/>
        </w:rPr>
        <w:t xml:space="preserve">, </w:t>
      </w:r>
      <w:r>
        <w:rPr>
          <w:rtl w:val="true"/>
        </w:rPr>
        <w:t>מדובר בנשק קצר תקני</w:t>
      </w:r>
      <w:r>
        <w:rPr>
          <w:rtl w:val="true"/>
        </w:rPr>
        <w:t xml:space="preserve">, </w:t>
      </w:r>
      <w:r>
        <w:rPr>
          <w:rtl w:val="true"/>
        </w:rPr>
        <w:t>שבכוחו להמית אדם</w:t>
      </w:r>
      <w:r>
        <w:rPr>
          <w:rtl w:val="true"/>
        </w:rPr>
        <w:t xml:space="preserve">, </w:t>
      </w:r>
      <w:r>
        <w:rPr>
          <w:rtl w:val="true"/>
        </w:rPr>
        <w:t>ובעל פוטנציאל לגרימת נזק חמור ביותר</w:t>
      </w:r>
      <w:r>
        <w:rPr>
          <w:rtl w:val="true"/>
        </w:rPr>
        <w:t xml:space="preserve">. </w:t>
      </w:r>
      <w:r>
        <w:rPr>
          <w:rtl w:val="true"/>
        </w:rPr>
        <w:t>לצד הנשק הוחזקה תחמושת תואמת</w:t>
      </w:r>
      <w:r>
        <w:rPr>
          <w:rtl w:val="true"/>
        </w:rPr>
        <w:t xml:space="preserve">, </w:t>
      </w:r>
      <w:r>
        <w:rPr>
          <w:rtl w:val="true"/>
        </w:rPr>
        <w:t>וכן תחמושת נוספת המתאימה לסוגי נשק אחרים</w:t>
      </w:r>
      <w:r>
        <w:rPr>
          <w:rtl w:val="true"/>
        </w:rPr>
        <w:t xml:space="preserve">. </w:t>
      </w:r>
      <w:r>
        <w:rPr>
          <w:rtl w:val="true"/>
        </w:rPr>
        <w:t>התחמושת והנשק הועברו משטחי האזור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 בעל הרכב ונהג בו בשעה שהנשק והתחמושת נתפסו</w:t>
      </w:r>
      <w:r>
        <w:rPr>
          <w:rtl w:val="true"/>
        </w:rPr>
        <w:t xml:space="preserve">, </w:t>
      </w:r>
      <w:r>
        <w:rPr>
          <w:rtl w:val="true"/>
        </w:rPr>
        <w:t xml:space="preserve">בעוד שנאשם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סייע להסתיר את הנשק</w:t>
      </w:r>
      <w:r>
        <w:rPr>
          <w:rtl w:val="true"/>
        </w:rPr>
        <w:t xml:space="preserve">, </w:t>
      </w:r>
      <w:r>
        <w:rPr>
          <w:rtl w:val="true"/>
        </w:rPr>
        <w:t>והתעמת עם שוטרים לשם כך</w:t>
      </w:r>
      <w:r>
        <w:rPr>
          <w:rtl w:val="true"/>
        </w:rPr>
        <w:t xml:space="preserve">. </w:t>
      </w:r>
      <w:r>
        <w:rPr>
          <w:rtl w:val="true"/>
        </w:rPr>
        <w:t>בנוסף הנאשמים בצוותא חדא קשרו קשר למכור אקדחים ונשקים נוספים בתמורה לסכומים נכבדים</w:t>
      </w:r>
      <w:r>
        <w:rPr>
          <w:rtl w:val="true"/>
        </w:rPr>
        <w:t xml:space="preserve">. </w:t>
      </w:r>
      <w:r>
        <w:rPr>
          <w:rtl w:val="true"/>
        </w:rPr>
        <w:t>מאידך גיסא</w:t>
      </w:r>
      <w:r>
        <w:rPr>
          <w:rtl w:val="true"/>
        </w:rPr>
        <w:t xml:space="preserve">, </w:t>
      </w:r>
      <w:r>
        <w:rPr>
          <w:rtl w:val="true"/>
        </w:rPr>
        <w:t>שקלתי כי העסקאות לא יצאו אל הפועל</w:t>
      </w:r>
      <w:r>
        <w:rPr>
          <w:rtl w:val="true"/>
        </w:rPr>
        <w:t xml:space="preserve">, </w:t>
      </w:r>
      <w:r>
        <w:rPr>
          <w:rtl w:val="true"/>
        </w:rPr>
        <w:t>ובסופו של יום לא נגרם נזק ממשי בגין העבירות בהן הורשעו הנאשמים</w:t>
      </w:r>
      <w:r>
        <w:rPr>
          <w:rtl w:val="true"/>
        </w:rPr>
        <w:t xml:space="preserve">, </w:t>
      </w:r>
      <w:r>
        <w:rPr>
          <w:rtl w:val="true"/>
        </w:rPr>
        <w:t>והנשק והתחמושת נתפסו על ידי המשטרה</w:t>
      </w:r>
      <w:r>
        <w:rPr>
          <w:rtl w:val="true"/>
        </w:rPr>
        <w:t xml:space="preserve">. </w:t>
      </w:r>
      <w:r>
        <w:rPr>
          <w:rtl w:val="true"/>
        </w:rPr>
        <w:t>כמו כן מדובר בנשק קצר</w:t>
      </w:r>
      <w:r>
        <w:rPr>
          <w:rtl w:val="true"/>
        </w:rPr>
        <w:t xml:space="preserve">, </w:t>
      </w:r>
      <w:r>
        <w:rPr>
          <w:rtl w:val="true"/>
        </w:rPr>
        <w:t>שפוטנציאל הנזק ממנו נמוך יותר מנשק ארוך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שמידת הפגיעה בערך המוגן הייתה בעוצמה בינונית</w:t>
      </w:r>
      <w:r>
        <w:rPr>
          <w:rtl w:val="true"/>
        </w:rPr>
        <w:t xml:space="preserve">. </w:t>
      </w:r>
    </w:p>
    <w:p>
      <w:pPr>
        <w:pStyle w:val="ListParagraph"/>
        <w:tabs>
          <w:tab w:val="clear" w:pos="720"/>
          <w:tab w:val="left" w:pos="-142" w:leader="none"/>
        </w:tabs>
        <w:spacing w:before="0" w:after="0"/>
        <w:ind w:start="357" w:end="357"/>
        <w:contextualSpacing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>לאחר שבחנתי את הערכים המוגנים שנפגעו כתוצאה מביצוע העבירות על ידי הנאשמים</w:t>
      </w:r>
      <w:r>
        <w:rPr>
          <w:rtl w:val="true"/>
        </w:rPr>
        <w:t xml:space="preserve">, </w:t>
      </w:r>
      <w:r>
        <w:rPr>
          <w:rtl w:val="true"/>
        </w:rPr>
        <w:t>את נסיבות ביצוען</w:t>
      </w:r>
      <w:r>
        <w:rPr>
          <w:rtl w:val="true"/>
        </w:rPr>
        <w:t xml:space="preserve">, </w:t>
      </w:r>
      <w:r>
        <w:rPr>
          <w:rtl w:val="true"/>
        </w:rPr>
        <w:t>וכן נתתי דעתי למדיניות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ולמגמת ההחמרה הנוספת מהעת האחרונה בפסקי הדין של בית המשפט העליון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אשר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בתיק העיקרי נע בין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אשר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מאחר שעונשו של המסייע הוא מחצית מעונשו של העבריין העיקרי</w:t>
      </w:r>
      <w:r>
        <w:rPr>
          <w:rtl w:val="true"/>
        </w:rPr>
        <w:t xml:space="preserve">, </w:t>
      </w:r>
      <w:r>
        <w:rPr>
          <w:rtl w:val="true"/>
        </w:rPr>
        <w:t>ומנגד בעבירת קשירת הקשר הוא שותף מלא</w:t>
      </w:r>
      <w:r>
        <w:rPr>
          <w:rtl w:val="true"/>
        </w:rPr>
        <w:t xml:space="preserve">, </w:t>
      </w:r>
      <w:r>
        <w:rPr>
          <w:rtl w:val="true"/>
        </w:rPr>
        <w:t>וכן בהתחשב בחלקו האקטיבי בביצוע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מצאתי כי מתחם העונש ההולם בעניינו נע בין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ListParagraph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 xml:space="preserve">אשר לעבירת הגניבה אותה צירף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אומר בקצרה</w:t>
      </w:r>
      <w:r>
        <w:rPr>
          <w:rtl w:val="true"/>
        </w:rPr>
        <w:t xml:space="preserve">, </w:t>
      </w:r>
      <w:r>
        <w:rPr>
          <w:rtl w:val="true"/>
        </w:rPr>
        <w:t>כי הערכים המוגנים הטמונים בבסיס עבירה זו הם הגנה על קניינו של אדם</w:t>
      </w:r>
      <w:r>
        <w:rPr>
          <w:rtl w:val="true"/>
        </w:rPr>
        <w:t xml:space="preserve">. </w:t>
      </w:r>
      <w:r>
        <w:rPr>
          <w:rtl w:val="true"/>
        </w:rPr>
        <w:t>מעבר לנזק הכלכלי שבאובדן הנכס</w:t>
      </w:r>
      <w:r>
        <w:rPr>
          <w:rtl w:val="true"/>
        </w:rPr>
        <w:t xml:space="preserve">, </w:t>
      </w:r>
      <w:r>
        <w:rPr>
          <w:rtl w:val="true"/>
        </w:rPr>
        <w:t>קיימת גם פגיעה בפרטיותו של אדם ופגיעה נוספת מכך שהמידע המצוי במכשיר אובד אף הוא</w:t>
      </w:r>
      <w:r>
        <w:rPr>
          <w:rtl w:val="true"/>
        </w:rPr>
        <w:t xml:space="preserve">. </w:t>
      </w: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>מכשיר הטלפון הנייד הפך לכלי מרכזי בחיי האדם המודרני</w:t>
      </w:r>
      <w:r>
        <w:rPr>
          <w:rtl w:val="true"/>
        </w:rPr>
        <w:t xml:space="preserve">, </w:t>
      </w:r>
      <w:r>
        <w:rPr>
          <w:rtl w:val="true"/>
        </w:rPr>
        <w:t>ובתוכו מצוי מידע רב וחשוב לניהול חיי היום יום של המשתמש בו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מצויים בתוכו תכתובות ותמונות שגישה אליהם פוגעת בפרטיות באופן משמעותי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כאשר המכשיר לא הושב</w:t>
      </w:r>
      <w:r>
        <w:rPr>
          <w:rtl w:val="true"/>
        </w:rPr>
        <w:t xml:space="preserve">, </w:t>
      </w:r>
      <w:r>
        <w:rPr>
          <w:rtl w:val="true"/>
        </w:rPr>
        <w:t>ובהתחשב בענישה הנוהגת</w:t>
      </w:r>
      <w:r>
        <w:rPr>
          <w:rtl w:val="true"/>
        </w:rPr>
        <w:t xml:space="preserve">, </w:t>
      </w:r>
      <w:r>
        <w:rPr>
          <w:rtl w:val="true"/>
        </w:rPr>
        <w:t>אני סבורה כי מתחם העונש ההולם נע בין מאסר מותנה שלצידו שירות לתועלת הציבור בהיקף נרחב וקנס גבוה ועד למספר חודשי מאסר</w:t>
      </w:r>
      <w:r>
        <w:rPr>
          <w:rtl w:val="true"/>
        </w:rPr>
        <w:t>.</w:t>
      </w:r>
    </w:p>
    <w:p>
      <w:pPr>
        <w:pStyle w:val="ListParagraph"/>
        <w:spacing w:lineRule="atLeast" w:line="360" w:before="0" w:after="0"/>
        <w:ind w:start="357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המתאים</w:t>
      </w:r>
    </w:p>
    <w:p>
      <w:pPr>
        <w:pStyle w:val="Normal"/>
        <w:spacing w:lineRule="auto" w:line="360" w:before="0" w:after="12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>בבואי לשקול את העונש המתאים לנאשמים אשקול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את הנסיבות שאינן קשורות בביצוע העבירה אשר מפורטות </w:t>
      </w:r>
      <w:hyperlink r:id="rId34">
        <w:r>
          <w:rPr>
            <w:rStyle w:val="Hyperlink"/>
            <w:color w:val="000000"/>
            <w:u w:val="none"/>
            <w:rtl w:val="true"/>
          </w:rPr>
          <w:t xml:space="preserve">בסעיף </w:t>
        </w:r>
        <w:r>
          <w:rPr>
            <w:rStyle w:val="Hyperlink"/>
            <w:color w:val="000000"/>
            <w:u w:val="none"/>
          </w:rPr>
          <w:t>40</w:t>
        </w:r>
        <w:r>
          <w:rPr>
            <w:rStyle w:val="Hyperlink"/>
            <w:color w:val="000000"/>
            <w:u w:val="none"/>
            <w:rtl w:val="true"/>
          </w:rPr>
          <w:t>יא</w:t>
        </w:r>
      </w:hyperlink>
      <w:r>
        <w:rPr>
          <w:rtl w:val="true"/>
        </w:rPr>
        <w:t xml:space="preserve"> לחוק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 xml:space="preserve">אשר לנאשם </w:t>
      </w:r>
      <w:r>
        <w:rPr/>
        <w:t>1</w:t>
      </w:r>
      <w:r>
        <w:rPr>
          <w:rtl w:val="true"/>
        </w:rPr>
        <w:t xml:space="preserve">- </w:t>
      </w:r>
      <w:r>
        <w:rPr>
          <w:rtl w:val="true"/>
        </w:rPr>
        <w:t xml:space="preserve">מדובר בנאשם כבן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נשוי ואב לשלושה ילדים קטנים שהוא אמון על פרנסתם</w:t>
      </w:r>
      <w:r>
        <w:rPr>
          <w:rtl w:val="true"/>
        </w:rPr>
        <w:t xml:space="preserve">. </w:t>
      </w:r>
      <w:r>
        <w:rPr>
          <w:rtl w:val="true"/>
        </w:rPr>
        <w:t>שהייתו במאסר פוגעת באופן קשה בבני משפחתו הן בפן הכלכלי והן בפן הרגשי</w:t>
      </w:r>
      <w:r>
        <w:rPr>
          <w:rtl w:val="true"/>
        </w:rPr>
        <w:t xml:space="preserve">. </w:t>
      </w:r>
      <w:r>
        <w:rPr>
          <w:rtl w:val="true"/>
        </w:rPr>
        <w:t>טרם מעצרו ניהל אורח חיים נורמטיבי</w:t>
      </w:r>
      <w:r>
        <w:rPr>
          <w:rtl w:val="true"/>
        </w:rPr>
        <w:t xml:space="preserve">, </w:t>
      </w:r>
      <w:r>
        <w:rPr>
          <w:rtl w:val="true"/>
        </w:rPr>
        <w:t xml:space="preserve">ומלבד מעידתו בשנת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בעבירת הגניבה</w:t>
      </w:r>
      <w:r>
        <w:rPr>
          <w:rtl w:val="true"/>
        </w:rPr>
        <w:t xml:space="preserve">, </w:t>
      </w:r>
      <w:r>
        <w:rPr>
          <w:rtl w:val="true"/>
        </w:rPr>
        <w:t>לא נפתחו לו תיקים נוספים</w:t>
      </w:r>
      <w:r>
        <w:rPr>
          <w:rtl w:val="true"/>
        </w:rPr>
        <w:t xml:space="preserve">. </w:t>
      </w:r>
      <w:r>
        <w:rPr>
          <w:rtl w:val="true"/>
        </w:rPr>
        <w:t>הנאשם לקח אחריות למעשיו והביע חרטה עליהם וחסך זמן שיפוטי משמעותי</w:t>
      </w:r>
      <w:r>
        <w:rPr>
          <w:rtl w:val="true"/>
        </w:rPr>
        <w:t xml:space="preserve">. </w:t>
      </w:r>
      <w:r>
        <w:rPr>
          <w:rtl w:val="true"/>
        </w:rPr>
        <w:t>הנאשם שוהה במעצר למעלה מ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 בהם לא ראה את ילדיו</w:t>
      </w:r>
      <w:r>
        <w:rPr>
          <w:rtl w:val="true"/>
        </w:rPr>
        <w:t xml:space="preserve">, </w:t>
      </w:r>
      <w:r>
        <w:rPr>
          <w:rtl w:val="true"/>
        </w:rPr>
        <w:t>וידוע כי תנאי מעצר קשים מתנאי מאסר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מדובר במאסרו הראשון</w:t>
      </w:r>
      <w:r>
        <w:rPr>
          <w:rtl w:val="true"/>
        </w:rPr>
        <w:t>.</w:t>
      </w:r>
    </w:p>
    <w:p>
      <w:pPr>
        <w:pStyle w:val="ListParagraph"/>
        <w:tabs>
          <w:tab w:val="clear" w:pos="720"/>
          <w:tab w:val="left" w:pos="-142" w:leader="none"/>
        </w:tabs>
        <w:spacing w:before="0" w:after="0"/>
        <w:ind w:start="283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Fonts w:eastAsia="David"/>
          <w:rtl w:val="true"/>
        </w:rPr>
        <w:t xml:space="preserve"> </w:t>
      </w:r>
      <w:r>
        <w:rPr>
          <w:rtl w:val="true"/>
        </w:rPr>
        <w:t xml:space="preserve">אשר לנאשם </w:t>
      </w:r>
      <w:r>
        <w:rPr/>
        <w:t>2</w:t>
      </w:r>
      <w:r>
        <w:rPr>
          <w:rtl w:val="true"/>
        </w:rPr>
        <w:t xml:space="preserve">- </w:t>
      </w:r>
      <w:r>
        <w:rPr>
          <w:rtl w:val="true"/>
        </w:rPr>
        <w:t xml:space="preserve">מדובר בצעיר כבן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אשר שהה במעצר למשך למעלה מ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תנאי מעצר קשים מתנאי מאסר</w:t>
      </w:r>
      <w:r>
        <w:rPr>
          <w:rtl w:val="true"/>
        </w:rPr>
        <w:t xml:space="preserve">. </w:t>
      </w:r>
      <w:r>
        <w:rPr>
          <w:rtl w:val="true"/>
        </w:rPr>
        <w:t>הנאשם שואף לנהל אורח חיים נורמטיבי</w:t>
      </w:r>
      <w:r>
        <w:rPr>
          <w:rtl w:val="true"/>
        </w:rPr>
        <w:t xml:space="preserve">, </w:t>
      </w:r>
      <w:r>
        <w:rPr>
          <w:rtl w:val="true"/>
        </w:rPr>
        <w:t>ללמוד לימודי אופטיקה ולשוב אל חיק משפחתו</w:t>
      </w:r>
      <w:r>
        <w:rPr>
          <w:rtl w:val="true"/>
        </w:rPr>
        <w:t xml:space="preserve">. </w:t>
      </w:r>
      <w:r>
        <w:rPr>
          <w:rtl w:val="true"/>
        </w:rPr>
        <w:t>הוא בן למשפחה נורמטיבית המגנה את התנהלותו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לקח אחריות למעשיו</w:t>
      </w:r>
      <w:r>
        <w:rPr>
          <w:rtl w:val="true"/>
        </w:rPr>
        <w:t xml:space="preserve">, </w:t>
      </w:r>
      <w:r>
        <w:rPr>
          <w:rtl w:val="true"/>
        </w:rPr>
        <w:t>הביע חרטה עליהם וחסך זמן שיפוטי משמעותי</w:t>
      </w:r>
      <w:r>
        <w:rPr>
          <w:rtl w:val="true"/>
        </w:rPr>
        <w:t xml:space="preserve">. </w:t>
      </w:r>
      <w:r>
        <w:rPr>
          <w:rtl w:val="true"/>
        </w:rPr>
        <w:t>אשר לעבר הפלילי</w:t>
      </w:r>
      <w:r>
        <w:rPr>
          <w:rtl w:val="true"/>
        </w:rPr>
        <w:t xml:space="preserve">, </w:t>
      </w:r>
      <w:r>
        <w:rPr>
          <w:rtl w:val="true"/>
        </w:rPr>
        <w:t>מדובר במעידה יחידה בפלילים וזהו לו מאסרו הראשון</w:t>
      </w:r>
      <w:r>
        <w:rPr>
          <w:rtl w:val="true"/>
        </w:rPr>
        <w:t>.</w:t>
      </w:r>
    </w:p>
    <w:p>
      <w:pPr>
        <w:pStyle w:val="ListParagraph"/>
        <w:ind w:start="36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אשקול את היעדר האופק השיקומי לנאשמים במסגרת הליך זה</w:t>
      </w:r>
      <w:r>
        <w:rPr>
          <w:rtl w:val="true"/>
        </w:rPr>
        <w:t xml:space="preserve">, </w:t>
      </w:r>
      <w:r>
        <w:rPr>
          <w:rtl w:val="true"/>
        </w:rPr>
        <w:t>שכן לא התבקש תסקיר שירות מבחן בעניינם</w:t>
      </w:r>
      <w:r>
        <w:rPr>
          <w:rtl w:val="true"/>
        </w:rPr>
        <w:t xml:space="preserve">. </w:t>
      </w:r>
    </w:p>
    <w:p>
      <w:pPr>
        <w:pStyle w:val="ListParagraph"/>
        <w:ind w:start="36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>עוד יש לתת דגש לצורך בהרתעת הרבים ובהרתעת היחיד</w:t>
      </w:r>
      <w:r>
        <w:rPr>
          <w:rtl w:val="true"/>
        </w:rPr>
        <w:t xml:space="preserve">, </w:t>
      </w:r>
      <w:r>
        <w:rPr>
          <w:rtl w:val="true"/>
        </w:rPr>
        <w:t>כאמור ב</w:t>
      </w:r>
      <w:hyperlink r:id="rId35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5681/14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טאטור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1.2.15</w:t>
      </w:r>
      <w:r>
        <w:rPr>
          <w:rtl w:val="true"/>
        </w:rPr>
        <w:t>):</w:t>
      </w:r>
    </w:p>
    <w:p>
      <w:pPr>
        <w:pStyle w:val="ListParagraph"/>
        <w:tabs>
          <w:tab w:val="clear" w:pos="720"/>
          <w:tab w:val="left" w:pos="1763" w:leader="none"/>
        </w:tabs>
        <w:ind w:start="360" w:end="0"/>
        <w:jc w:val="both"/>
        <w:rPr>
          <w:sz w:val="10"/>
          <w:szCs w:val="10"/>
        </w:rPr>
      </w:pPr>
      <w:r>
        <w:rPr>
          <w:rtl w:val="true"/>
        </w:rPr>
        <w:tab/>
      </w:r>
    </w:p>
    <w:p>
      <w:pPr>
        <w:pStyle w:val="ListParagraph"/>
        <w:spacing w:before="0" w:after="0"/>
        <w:ind w:start="510" w:end="340"/>
        <w:contextualSpacing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דרך המלך בכגון 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בסופו של 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צריכה להיות ככלל מאסר מאחורי סורג ובריח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 בראש וראשונה להרתעת היחיד והרבים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אורך התקופה כרוך כמובן בנסיבות הספציפיות של העושה והמעשה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אך נשק הוא נשק הוא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ובנסיבות הישראליות נשק בידיים לא מורשות עלול להתגלגל למקום לא 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וכדברי האומר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מחזה שבמערכתו הראשונה נראה 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עשוי האקדח לירות במערכה האחרונה</w:t>
      </w:r>
      <w:r>
        <w:rPr>
          <w:b/>
          <w:bCs/>
          <w:rtl w:val="true"/>
        </w:rPr>
        <w:t>'...</w:t>
      </w:r>
      <w:r>
        <w:rPr>
          <w:rtl w:val="true"/>
        </w:rPr>
        <w:t>"</w:t>
      </w:r>
    </w:p>
    <w:p>
      <w:pPr>
        <w:pStyle w:val="Normal"/>
        <w:spacing w:lineRule="auto" w:line="360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>באיזון בין השיקולים השונים</w:t>
      </w:r>
      <w:r>
        <w:rPr>
          <w:rtl w:val="true"/>
        </w:rPr>
        <w:t xml:space="preserve">, </w:t>
      </w:r>
      <w:r>
        <w:rPr>
          <w:rtl w:val="true"/>
        </w:rPr>
        <w:t>אני סבורה כי יש לגזור על הנאשמים עונש ברף התחתון של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ומאחר שבמקרה זה גם החלטתי לחלט את רכבו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העונש יעמוד על הרף הנמוך ביותר של המתחם</w:t>
      </w:r>
      <w:r>
        <w:rPr>
          <w:rtl w:val="true"/>
        </w:rPr>
        <w:t xml:space="preserve">. </w:t>
      </w:r>
      <w:r>
        <w:rPr>
          <w:rtl w:val="true"/>
        </w:rPr>
        <w:t xml:space="preserve">כך גם לגבי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לאור עמדת המאשימה</w:t>
      </w:r>
      <w:r>
        <w:rPr>
          <w:rtl w:val="true"/>
        </w:rPr>
        <w:t xml:space="preserve">, </w:t>
      </w:r>
      <w:r>
        <w:rPr>
          <w:rtl w:val="true"/>
        </w:rPr>
        <w:t>שעתרה להטלת עונש בתחתית המתחם</w:t>
      </w:r>
      <w:r>
        <w:rPr>
          <w:rtl w:val="true"/>
        </w:rPr>
        <w:t xml:space="preserve">. </w:t>
      </w:r>
      <w:r>
        <w:rPr>
          <w:rtl w:val="true"/>
        </w:rPr>
        <w:t>אשר על כן אני גוזרת על הנאשמים את העונשים כדלקמן</w:t>
      </w:r>
      <w:r>
        <w:rPr>
          <w:rtl w:val="true"/>
        </w:rPr>
        <w:t>:</w:t>
      </w:r>
    </w:p>
    <w:p>
      <w:pPr>
        <w:pStyle w:val="ListParagraph"/>
        <w:shd w:fill="FFFFFF" w:val="clear"/>
        <w:spacing w:before="0" w:after="0"/>
        <w:ind w:start="283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7"/>
        </w:numPr>
        <w:ind w:hanging="360" w:start="952" w:end="0"/>
        <w:jc w:val="both"/>
        <w:rPr/>
      </w:pPr>
      <w:r>
        <w:rPr>
          <w:rtl w:val="true"/>
        </w:rPr>
        <w:t xml:space="preserve">על נאשם </w:t>
      </w:r>
      <w:r>
        <w:rPr/>
        <w:t>1</w:t>
      </w:r>
      <w:r>
        <w:rPr>
          <w:rtl w:val="true"/>
        </w:rPr>
        <w:t xml:space="preserve"> -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אשר ירוצו מיום מעצרו </w:t>
      </w:r>
      <w:r>
        <w:rPr/>
        <w:t>7.10.21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360" w:start="952" w:end="0"/>
        <w:jc w:val="both"/>
        <w:rPr/>
      </w:pPr>
      <w:r>
        <w:rPr>
          <w:rtl w:val="true"/>
        </w:rPr>
        <w:t xml:space="preserve">על נאשם </w:t>
      </w:r>
      <w:r>
        <w:rPr/>
        <w:t>2</w:t>
      </w:r>
      <w:r>
        <w:rPr>
          <w:rtl w:val="true"/>
        </w:rPr>
        <w:t xml:space="preserve"> 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אשר ירוצו מיום מעצרו </w:t>
      </w:r>
      <w:r>
        <w:rPr/>
        <w:t>7.10.21</w:t>
      </w:r>
      <w:r>
        <w:rPr>
          <w:rtl w:val="true"/>
        </w:rPr>
        <w:t>.</w:t>
      </w:r>
    </w:p>
    <w:p>
      <w:pPr>
        <w:pStyle w:val="ListParagraph"/>
        <w:ind w:start="952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before="0" w:after="0"/>
        <w:ind w:hanging="360" w:start="952" w:end="0"/>
        <w:contextualSpacing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 שלא יעברו בתוך שלוש שנים מיום שחרורם על עבירות נשק מסוג פשע</w:t>
      </w:r>
      <w:r>
        <w:rPr>
          <w:rtl w:val="true"/>
        </w:rPr>
        <w:t>.</w:t>
      </w:r>
    </w:p>
    <w:p>
      <w:pPr>
        <w:pStyle w:val="ListParagraph"/>
        <w:spacing w:before="0" w:after="0"/>
        <w:ind w:start="952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ind w:hanging="360" w:start="952" w:end="0"/>
        <w:jc w:val="both"/>
        <w:rPr>
          <w:color w:val="000000"/>
        </w:rPr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 שלא יעברו בתוך שלוש שנים מיום שחרורם על עבירות נשק מסוג עוון</w:t>
      </w:r>
      <w:r>
        <w:rPr>
          <w:color w:val="000000"/>
          <w:rtl w:val="true"/>
        </w:rPr>
        <w:t>.</w:t>
      </w:r>
    </w:p>
    <w:p>
      <w:pPr>
        <w:pStyle w:val="ListParagraph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ind w:hanging="360" w:start="952" w:end="0"/>
        <w:jc w:val="both"/>
        <w:rPr>
          <w:color w:val="000000"/>
        </w:rPr>
      </w:pPr>
      <w:r>
        <w:rPr>
          <w:rtl w:val="true"/>
        </w:rPr>
        <w:t xml:space="preserve">בנוסף על נאשם </w:t>
      </w:r>
      <w:r>
        <w:rPr/>
        <w:t>1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על תנאי שלא יעבור בתוך שלוש שנים מיום שחרורו על כל עבירת רכוש</w:t>
      </w:r>
      <w:r>
        <w:rPr>
          <w:color w:val="000000"/>
          <w:rtl w:val="true"/>
        </w:rPr>
        <w:t>.</w:t>
      </w:r>
    </w:p>
    <w:p>
      <w:pPr>
        <w:pStyle w:val="ListParagraph"/>
        <w:shd w:fill="FFFFFF" w:val="clear"/>
        <w:ind w:start="952" w:end="0"/>
        <w:jc w:val="both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ind w:hanging="360" w:start="952" w:end="0"/>
        <w:jc w:val="both"/>
        <w:rPr>
          <w:color w:val="000000"/>
        </w:rPr>
      </w:pPr>
      <w:r>
        <w:rPr>
          <w:rtl w:val="true"/>
        </w:rPr>
        <w:t>אני מורה על חילוט רכבו של הנאשם מסוג</w:t>
      </w:r>
      <w:r>
        <w:rPr>
          <w:color w:val="000000"/>
          <w:rtl w:val="true"/>
        </w:rPr>
        <w:t xml:space="preserve"> פולקסווגן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ז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3932056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זאת מאחר שמדובר בכלי ששימוש לביצוע העבירה והיה נדבך מרכזי שאפשר את העברת הנשק ממקום למקום</w:t>
      </w:r>
      <w:r>
        <w:rPr>
          <w:color w:val="000000"/>
          <w:rtl w:val="true"/>
        </w:rPr>
        <w:t>.</w:t>
      </w:r>
    </w:p>
    <w:p>
      <w:pPr>
        <w:pStyle w:val="ListParagraph"/>
        <w:ind w:end="0"/>
        <w:jc w:val="both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ind w:hanging="360" w:start="952" w:end="0"/>
        <w:jc w:val="both"/>
        <w:rPr>
          <w:color w:val="000000"/>
        </w:rPr>
      </w:pPr>
      <w:r>
        <w:rPr>
          <w:color w:val="000000"/>
          <w:rtl w:val="true"/>
        </w:rPr>
        <w:t xml:space="preserve">לאור חילוט הרכב לא מצאתי להטיל קנס על נאשם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. </w:t>
      </w:r>
    </w:p>
    <w:p>
      <w:pPr>
        <w:pStyle w:val="ListParagraph"/>
        <w:ind w:end="0"/>
        <w:jc w:val="both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ind w:hanging="360" w:start="952" w:end="0"/>
        <w:jc w:val="both"/>
        <w:rPr>
          <w:color w:val="000000"/>
        </w:rPr>
      </w:pPr>
      <w:r>
        <w:rPr>
          <w:color w:val="000000"/>
          <w:rtl w:val="true"/>
        </w:rPr>
        <w:t xml:space="preserve">בהתחשב בחלקו של נאשם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 העבירה ופוטנציאל הרווח הכלכלי הטמון 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שלא ממוש בסופו של יום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מצאתי להטיל עליו קנס בסך </w:t>
      </w:r>
      <w:r>
        <w:rPr>
          <w:color w:val="000000"/>
        </w:rPr>
        <w:t>5,000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>או חודש מאסר תחתיו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הקנס ישולם בעשרה תשלומים שווים ורצופים החל מיום </w:t>
      </w:r>
      <w:r>
        <w:rPr>
          <w:color w:val="000000"/>
        </w:rPr>
        <w:t>1.12.22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ובכל אחד לחודש שלאחריו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 ישולם תשלום במלואו או במועדו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תעמוד יתרת הקנס לפירעון מיידי</w:t>
      </w:r>
      <w:r>
        <w:rPr>
          <w:color w:val="000000"/>
          <w:rtl w:val="true"/>
        </w:rPr>
        <w:t>.</w:t>
      </w:r>
    </w:p>
    <w:p>
      <w:pPr>
        <w:pStyle w:val="ListParagraph"/>
        <w:ind w:end="0"/>
        <w:jc w:val="both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ind w:hanging="360" w:start="952" w:end="0"/>
        <w:jc w:val="both"/>
        <w:rPr>
          <w:color w:val="000000"/>
        </w:rPr>
      </w:pPr>
      <w:r>
        <w:rPr>
          <w:color w:val="000000"/>
          <w:rtl w:val="true"/>
        </w:rPr>
        <w:t xml:space="preserve">נאשם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יפצה  את המתלוננת בסך </w:t>
      </w:r>
      <w:r>
        <w:rPr>
          <w:color w:val="000000"/>
        </w:rPr>
        <w:t>1,500</w:t>
      </w:r>
      <w:r>
        <w:rPr>
          <w:color w:val="000000"/>
          <w:rtl w:val="true"/>
        </w:rPr>
        <w:t xml:space="preserve"> ₪. </w:t>
      </w:r>
      <w:r>
        <w:rPr>
          <w:color w:val="000000"/>
          <w:rtl w:val="true"/>
        </w:rPr>
        <w:t xml:space="preserve">סכום זה ישולם עד ליום </w:t>
      </w:r>
      <w:r>
        <w:rPr>
          <w:color w:val="000000"/>
        </w:rPr>
        <w:t>3.10.22</w:t>
      </w:r>
      <w:r>
        <w:rPr>
          <w:color w:val="000000"/>
          <w:rtl w:val="true"/>
        </w:rPr>
        <w:t>.</w:t>
      </w:r>
    </w:p>
    <w:p>
      <w:pPr>
        <w:pStyle w:val="Normal"/>
        <w:shd w:fill="FFFFFF" w:val="clear"/>
        <w:ind w:end="0"/>
        <w:jc w:val="start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hd w:fill="FFFFFF" w:val="clear"/>
        <w:ind w:end="0"/>
        <w:jc w:val="start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מהיום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shd w:fill="FFFFFF" w:val="clea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3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הצדדים והנאשם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3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59067-10-21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כנעאן עלקם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szCs w:val="24"/>
        <w:lang w:val="en-US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szCs w:val="24"/>
        <w:lang w:val="en-US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szCs w:val="24"/>
        <w:rFonts w:ascii="David" w:hAnsi="David" w:cs="David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dstrike w:val="false"/>
        <w:strike w:val="false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sz w:val="24"/>
      <w:szCs w:val="24"/>
      <w:lang w:val="en-US"/>
    </w:rPr>
  </w:style>
  <w:style w:type="character" w:styleId="WW8Num2z0">
    <w:name w:val="WW8Num2z0"/>
    <w:qFormat/>
    <w:rPr>
      <w:strike w:val="false"/>
      <w:dstrike w:val="false"/>
      <w:u w:val="none"/>
    </w:rPr>
  </w:style>
  <w:style w:type="character" w:styleId="WW8Num4z0">
    <w:name w:val="WW8Num4z0"/>
    <w:qFormat/>
    <w:rPr>
      <w:rFonts w:ascii="David" w:hAnsi="David" w:cs="David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360" w:before="0" w:after="160"/>
      <w:ind w:hanging="0" w:start="720" w:end="0"/>
      <w:contextualSpacing/>
      <w:jc w:val="both"/>
    </w:pPr>
    <w:rPr>
      <w:rFonts w:ascii="David" w:hAnsi="David" w:eastAsia="Calibri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84" TargetMode="External"/><Relationship Id="rId5" Type="http://schemas.openxmlformats.org/officeDocument/2006/relationships/hyperlink" Target="http://www.nevo.co.il/law/70301/499" TargetMode="External"/><Relationship Id="rId6" Type="http://schemas.openxmlformats.org/officeDocument/2006/relationships/hyperlink" Target="http://www.nevo.co.il/law/70301/499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case/26213007" TargetMode="External"/><Relationship Id="rId11" Type="http://schemas.openxmlformats.org/officeDocument/2006/relationships/hyperlink" Target="http://www.nevo.co.il/law/70301/384" TargetMode="External"/><Relationship Id="rId12" Type="http://schemas.openxmlformats.org/officeDocument/2006/relationships/hyperlink" Target="http://www.nevo.co.il/case/26213007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://www.nevo.co.il/case/27915710" TargetMode="External"/><Relationship Id="rId19" Type="http://schemas.openxmlformats.org/officeDocument/2006/relationships/hyperlink" Target="http://www.nevo.co.il/case/27734980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" TargetMode="External"/><Relationship Id="rId28" Type="http://schemas.openxmlformats.org/officeDocument/2006/relationships/hyperlink" Target="" TargetMode="External"/><Relationship Id="rId29" Type="http://schemas.openxmlformats.org/officeDocument/2006/relationships/hyperlink" Target="" TargetMode="External"/><Relationship Id="rId30" Type="http://schemas.openxmlformats.org/officeDocument/2006/relationships/hyperlink" Target="http://www.nevo.co.il/case/5878120" TargetMode="External"/><Relationship Id="rId31" Type="http://schemas.openxmlformats.org/officeDocument/2006/relationships/hyperlink" Target="http://www.nevo.co.il/case/5610199" TargetMode="External"/><Relationship Id="rId32" Type="http://schemas.openxmlformats.org/officeDocument/2006/relationships/hyperlink" Target="http://www.nevo.co.il/case/5598555" TargetMode="External"/><Relationship Id="rId33" Type="http://schemas.openxmlformats.org/officeDocument/2006/relationships/hyperlink" Target="http://www.nevo.co.il/case/20487019" TargetMode="External"/><Relationship Id="rId34" Type="http://schemas.openxmlformats.org/officeDocument/2006/relationships/hyperlink" Target="" TargetMode="External"/><Relationship Id="rId35" Type="http://schemas.openxmlformats.org/officeDocument/2006/relationships/hyperlink" Target="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2023-09-28T10:41:00Z</dcterms:created>
  <dc:creator> </dc:creator>
  <dc:description/>
  <cp:keywords/>
  <dc:language>en-IL</dc:language>
  <cp:lastModifiedBy>h1</cp:lastModifiedBy>
  <dcterms:modified xsi:type="dcterms:W3CDTF">2023-09-28T10:41:00Z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כנעאן עלקם;מחמד מאלק עלקם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26213007:2;27915710;27734980;5878120;5610199;5598555;20487019</vt:lpwstr>
  </property>
  <property fmtid="{D5CDD505-2E9C-101B-9397-08002B2CF9AE}" pid="9" name="CITY">
    <vt:lpwstr>י-ם</vt:lpwstr>
  </property>
  <property fmtid="{D5CDD505-2E9C-101B-9397-08002B2CF9AE}" pid="10" name="DATE">
    <vt:lpwstr>20220720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70301/499;144.b:3;384</vt:lpwstr>
  </property>
  <property fmtid="{D5CDD505-2E9C-101B-9397-08002B2CF9AE}" pid="15" name="LAWYER">
    <vt:lpwstr>יעל ריצ'קר;רמי עותמאן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59067</vt:lpwstr>
  </property>
  <property fmtid="{D5CDD505-2E9C-101B-9397-08002B2CF9AE}" pid="22" name="NEWPARTB">
    <vt:lpwstr>10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390020220720</vt:lpwstr>
  </property>
  <property fmtid="{D5CDD505-2E9C-101B-9397-08002B2CF9AE}" pid="34" name="TYPE_N_DATE">
    <vt:lpwstr>39020220720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