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59422-07-14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טלקר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70"/>
        <w:gridCol w:w="3604"/>
      </w:tblGrid>
      <w:tr>
        <w:trPr>
          <w:trHeight w:val="29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7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</w:p>
        </w:tc>
        <w:tc>
          <w:tcPr>
            <w:tcW w:w="360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7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60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7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יניר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טלקר</w:t>
            </w:r>
          </w:p>
        </w:tc>
        <w:tc>
          <w:tcPr>
            <w:tcW w:w="360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248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338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390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עיקריהן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בתפקידים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 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20.07.14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וקליעה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התפקיד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התפקיד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כשירותם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המבצעית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במטווחים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התפקיד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התקיימו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בממוצע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להתאמן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סוהרים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מנַשַק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הנַשַק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").   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לנַשַק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bookmarkStart w:id="8" w:name="ABSTRACT_START"/>
      <w:bookmarkEnd w:id="8"/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הַחל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31.10.12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13.10.13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דבסאן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הנותרים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דבסאן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זוהיר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מזומן</w:t>
      </w:r>
      <w:bookmarkStart w:id="9" w:name="ABSTRACT_END"/>
      <w:bookmarkEnd w:id="9"/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הנותרים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לחתונה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21.12.11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הנותרים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מהנַשַק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במטווחים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נמחקו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20.06.12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טויוטה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אוקטובר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מהנַשַק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במטווחים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קוזז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19.11.13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הטויוטה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 </w:t>
      </w:r>
      <w:r>
        <w:rPr>
          <w:rFonts w:cs="Calibri" w:ascii="Calibri" w:hAnsi="Calibri"/>
        </w:rPr>
        <w:t>55,000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מהנַשַק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במטווחים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קיזז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מהנַשַק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קיזז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במזומן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ממדריכי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במטווחים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מזגאוקר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במטווחים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62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20.07.14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לרהט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לדרכם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ותצפתו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וחסמו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"); </w:t>
      </w:r>
      <w:r>
        <w:rPr>
          <w:rFonts w:ascii="Calibri" w:hAnsi="Calibri" w:cs="Calibri"/>
          <w:rtl w:val="true"/>
        </w:rPr>
        <w:t>מרמה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413</w:t>
        </w:r>
        <w:r>
          <w:rPr>
            <w:rStyle w:val="Hyperlink"/>
            <w:rFonts w:cs="David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/>
            <w:rtl w:val="true"/>
          </w:rPr>
          <w:t>ה</w:t>
        </w:r>
      </w:hyperlink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כהבנתה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8437865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יחולט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ולתינוקת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מנישואיו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הנוכחיים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המסתערבים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סימפטומים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פוסט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טראומטיים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עוצמתם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כבעבר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אבטחה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בדימונה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ובטיפוח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ויציבות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השליחויות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כבעבר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פורמאלית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ובצרכיו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בהתבוננות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ובמסגרתם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בשיטתיות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ובהסתרת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דאגתו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ותוצאותיו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ושנדרשת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ולחומרתם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84-378-65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יחולט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המבוקש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ולהמלצתו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להרוויח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והושגו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המסתערבים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המשותפת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ודאגה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לסביבתו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וערכי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וטענה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שפורסמו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התקשורת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זכויותיו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פיזיותרפיים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תרופתי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שהופעלו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לאכיפה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בררנית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ידה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ולקרוביו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ברצף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מבחינם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מטרתם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הנובעות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הנגזרות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ברצף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מקבוצות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עבירות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הגניבה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בידי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עובד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ציבור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מרמה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והפרת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אמונים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ועבירות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הסחר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בנשק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כשירותם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המבצעית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במטווחים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אספקה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במטווחי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מעסיקו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ובמנהיגיו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>.." (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677/14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דנקנר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מדינ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17.7.14</w:t>
      </w:r>
      <w:r>
        <w:rPr>
          <w:rFonts w:cs="Calibri" w:ascii="Calibri" w:hAnsi="Calibri"/>
          <w:rtl w:val="true"/>
        </w:rPr>
        <w:t xml:space="preserve">)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פירוט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מפוקפק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סואנים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שנקלעו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באובדן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cs="Calibri" w:ascii="Calibri" w:hAnsi="Calibri"/>
          <w:rtl w:val="true"/>
        </w:rPr>
        <w:t xml:space="preserve">"-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5833/07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</w:t>
      </w:r>
    </w:p>
    <w:p>
      <w:pPr>
        <w:pStyle w:val="Normal"/>
        <w:spacing w:lineRule="auto" w:line="360" w:before="0" w:after="160"/>
        <w:ind w:start="56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566" w:end="0"/>
        <w:jc w:val="both"/>
        <w:rPr/>
      </w:pP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566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כברוב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מושפע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ממיהות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וזמינותו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המדאיגה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במחוזותינו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התגלגלותם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בגורלם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יובילו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בקטטה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בהדרגה</w:t>
      </w:r>
      <w:r>
        <w:rPr>
          <w:rFonts w:cs="Calibri" w:ascii="Calibri" w:hAnsi="Calibri"/>
          <w:rtl w:val="true"/>
        </w:rPr>
        <w:t xml:space="preserve">..." -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05.06.13</w:t>
      </w:r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וב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7268/11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גבראן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](</w:t>
      </w:r>
      <w:r>
        <w:rPr>
          <w:rFonts w:cs="Calibri" w:ascii="Calibri" w:hAnsi="Calibri"/>
        </w:rPr>
        <w:t>08.08.12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לראותן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נסיון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לצערנו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מפוקפקות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לעיתים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למיניהם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הצרכן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הסופי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בקצה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השרשרת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2251/11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4.12.2011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נפאע</w:t>
      </w:r>
      <w:r>
        <w:rPr>
          <w:rFonts w:cs="Calibri" w:ascii="Calibri" w:hAnsi="Calibri"/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Fonts w:cs="Calibri" w:ascii="Calibri" w:hAnsi="Calibri"/>
          <w:rtl w:val="true"/>
        </w:rPr>
        <w:t xml:space="preserve">."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קיבל לידיו תחמושת בהיקף ניכר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אמון שישתמש בה למטרה שלשמה היא נמסרה לו – אימון סוהרים בירי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מעל באמון שניתן בו בצורה גסה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 יד ברכוש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מעבידתו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מכר את התחמושת בעבור בצע כסף לאחר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שאינו מורשה להחזיקה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וסיכן את הציבור בצורה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 אלה מוסיפות למעשי הנאשם נופך משמעותי של חומרה</w:t>
      </w:r>
      <w:r>
        <w:rPr>
          <w:rFonts w:cs="Arial" w:ascii="Arial" w:hAnsi="Arial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ב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5080/15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נסים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פורסם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בנבו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Cs/>
          <w:color w:val="000000"/>
        </w:rPr>
        <w:t>2016.03.10</w:t>
      </w:r>
      <w:r>
        <w:rPr>
          <w:b/>
          <w:bCs/>
          <w:color w:val="000000"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גניבה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2009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עבאס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ישראלי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ונוצרה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לפגוש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בשגרירות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איחוד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והקישור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למחלקת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בשווה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cs="Calibri" w:ascii="Calibri" w:hAnsi="Calibri"/>
          <w:rtl w:val="true"/>
        </w:rPr>
        <w:t xml:space="preserve">-  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 xml:space="preserve">..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נפסק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שכמותו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שמסכנים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שכזו</w:t>
      </w:r>
      <w:r>
        <w:rPr>
          <w:rFonts w:cs="Calibri" w:ascii="Calibri" w:hAnsi="Calibri"/>
          <w:rtl w:val="true"/>
        </w:rPr>
        <w:t>" (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7317/13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>, 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סולברג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19.5.2014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הצטברותן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ומרתיעה</w:t>
      </w:r>
      <w:r>
        <w:rPr>
          <w:rFonts w:cs="Calibri" w:ascii="Calibri" w:hAnsi="Calibri"/>
          <w:rtl w:val="true"/>
        </w:rPr>
        <w:t xml:space="preserve">..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>"</w:t>
        <w:br/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4518/11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יעקב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עייאש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פורסם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בנבו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b/>
          <w:bCs/>
        </w:rPr>
        <w:t>28.07.11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נחשון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מיחידתו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בנשקייה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יריחו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cs="Calibri" w:ascii="Calibri" w:hAnsi="Calibri"/>
          <w:b/>
          <w:bCs/>
        </w:rPr>
        <w:t>15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הפתרון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ומכירתו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נרכשים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בחייהם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להשלים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כשהגניבה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מבוצעת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שנמנה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הביטחון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נדרש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להקפיד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כבחמורה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אדרבא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לרבים</w:t>
      </w:r>
      <w:r>
        <w:rPr>
          <w:rFonts w:cs="Calibri" w:ascii="Calibri" w:hAnsi="Calibri"/>
          <w:rtl w:val="true"/>
        </w:rPr>
        <w:t>."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 Unicode MS" w:hAnsi="Arial TUR;Arial Unicode MS" w:cs="Arial TUR;Arial Unicode MS"/>
          <w:spacing w:val="10"/>
        </w:rPr>
      </w:pPr>
      <w:r>
        <w:rPr>
          <w:rFonts w:cs="Arial TUR;Arial Unicode MS" w:ascii="Arial TUR;Arial Unicode MS" w:hAnsi="Arial TUR;Arial Unicode MS"/>
          <w:spacing w:val="10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hyperlink r:id="rId27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9112/11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פורסם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בנבו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b/>
          <w:bCs/>
        </w:rPr>
        <w:t>06.12.12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מבסיסו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למוכרו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ובאיזונים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חומרתה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10996/03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נרקיס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([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], </w:t>
      </w:r>
      <w:r>
        <w:rPr>
          <w:rFonts w:cs="Calibri" w:ascii="Calibri" w:hAnsi="Calibri"/>
        </w:rPr>
        <w:t>27.11.2006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מאותה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פריזמה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להשקיף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בבכירים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ומשרתים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מצטרפות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[...] </w:t>
      </w:r>
      <w:r>
        <w:rPr>
          <w:rFonts w:ascii="Calibri" w:hAnsi="Calibri" w:cs="Calibri"/>
          <w:rtl w:val="true"/>
        </w:rPr>
        <w:t>מסכנת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קנייתם</w:t>
      </w:r>
      <w:r>
        <w:rPr>
          <w:rFonts w:cs="Calibri" w:ascii="Calibri" w:hAnsi="Calibri"/>
          <w:rtl w:val="true"/>
        </w:rPr>
        <w:t>" (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1121/11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אזולאי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], </w:t>
      </w:r>
      <w:r>
        <w:rPr>
          <w:rFonts w:cs="Calibri" w:ascii="Calibri" w:hAnsi="Calibri"/>
        </w:rPr>
        <w:t>23.11.2011</w:t>
      </w:r>
      <w:r>
        <w:rPr>
          <w:rFonts w:cs="Calibri" w:ascii="Calibri" w:hAnsi="Calibri"/>
          <w:rtl w:val="true"/>
        </w:rPr>
        <w:t xml:space="preserve">)),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האמורות</w:t>
      </w:r>
      <w:r>
        <w:rPr>
          <w:rFonts w:cs="Calibri" w:ascii="Calibri" w:hAnsi="Calibri"/>
          <w:rtl w:val="true"/>
        </w:rPr>
        <w:t>."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5549/09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ניסים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יעקב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פורסם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בנבו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06.01.10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4.5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נשפט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cs="Calibri" w:ascii="Calibri" w:hAnsi="Calibri"/>
          <w:rtl w:val="true"/>
        </w:rPr>
        <w:t>,</w:t>
      </w:r>
      <w:r>
        <w:rPr>
          <w:rFonts w:cs="Calibri" w:ascii="FrankRuehl" w:hAnsi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לצרף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>,</w:t>
      </w:r>
      <w:r>
        <w:rPr>
          <w:rFonts w:cs="Calibri" w:ascii="FrankRuehl" w:hAnsi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מאותו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תחום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Calibri"/>
          <w:rtl w:val="true"/>
        </w:rPr>
        <w:t>–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מצה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ושלוש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FrankRuehl" w:hAnsi="FrankRuehl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>.</w:t>
      </w:r>
      <w:r>
        <w:rPr>
          <w:rFonts w:cs="Calibri" w:ascii="FrankRuehl" w:hAnsi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לעשרים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ושניים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,</w:t>
      </w:r>
      <w:r>
        <w:rPr>
          <w:rFonts w:cs="Calibri" w:ascii="FrankRuehl" w:hAnsi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שכלל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FrankRuehl" w:hAnsi="FrankRuehl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לגופו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בגורלו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>."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hyperlink r:id="rId3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3114/02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עודד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מולאי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פורסם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בנבו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10.04.03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בפרשיה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ובשניה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פרופיל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5318/03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פורסם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בנבו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08.01.04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2001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9000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9,500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נגנבה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השותף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ובידיעתו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נגישותו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משולבים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מבחינתו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פלשתינאים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פלשתינאים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הדגשה</w:t>
      </w:r>
      <w:r>
        <w:rPr>
          <w:rFonts w:cs="Calibri" w:ascii="Calibri" w:hAnsi="Calibri"/>
          <w:rtl w:val="true"/>
        </w:rPr>
        <w:t xml:space="preserve">."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hyperlink r:id="rId3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1768/14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גנאיים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פורסם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בנבו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22.7.14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8,500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3-7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4-7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מצומצמת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הישראלית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יתגלגל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עוינת</w:t>
      </w:r>
      <w:r>
        <w:rPr>
          <w:rFonts w:cs="Calibri" w:ascii="Calibri" w:hAnsi="Calibri"/>
          <w:rtl w:val="true"/>
        </w:rPr>
        <w:t>" (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2251/11</w:t>
        </w:r>
      </w:hyperlink>
      <w:r>
        <w:rPr>
          <w:rFonts w:cs="Century" w:ascii="Century" w:hAnsi="Century"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נפעא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נ</w:t>
      </w:r>
      <w:r>
        <w:rPr>
          <w:rFonts w:cs="Century" w:ascii="Century" w:hAnsi="Century"/>
          <w:b/>
          <w:rtl w:val="true"/>
        </w:rPr>
        <w:t xml:space="preserve">' </w:t>
      </w:r>
      <w:r>
        <w:rPr>
          <w:rFonts w:ascii="Century" w:hAnsi="Century" w:cs="Century"/>
          <w:b/>
          <w:b/>
          <w:rtl w:val="true"/>
        </w:rPr>
        <w:t>מדינת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4.12.2011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7781/12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פלוני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נ</w:t>
      </w:r>
      <w:r>
        <w:rPr>
          <w:rFonts w:cs="Century" w:ascii="Century" w:hAnsi="Century"/>
          <w:b/>
          <w:rtl w:val="true"/>
        </w:rPr>
        <w:t xml:space="preserve">' </w:t>
      </w:r>
      <w:r>
        <w:rPr>
          <w:rFonts w:ascii="Century" w:hAnsi="Century" w:cs="Century"/>
          <w:b/>
          <w:b/>
          <w:rtl w:val="true"/>
        </w:rPr>
        <w:t>מדינת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51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25.6.2013</w:t>
      </w:r>
      <w:r>
        <w:rPr>
          <w:rFonts w:cs="Calibri" w:ascii="Calibri" w:hAnsi="Calibri"/>
          <w:rtl w:val="true"/>
        </w:rPr>
        <w:t xml:space="preserve">)) </w:t>
      </w:r>
      <w:r>
        <w:rPr>
          <w:rFonts w:ascii="Calibri" w:hAnsi="Calibri" w:cs="Calibri"/>
          <w:rtl w:val="true"/>
        </w:rPr>
        <w:t>ציינתי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Arial TUR;Arial Unicode MS" w:hAnsi="Arial TUR;Arial Unicode MS" w:cs="Arial TUR;Arial Unicode MS"/>
          <w:rtl w:val="true"/>
        </w:rPr>
        <w:t>ישנם מקרים בהם חרף העובדה שמדובר ב</w:t>
      </w:r>
      <w:r>
        <w:rPr>
          <w:rFonts w:cs="Arial TUR;Arial Unicode MS" w:ascii="Arial TUR;Arial Unicode MS" w:hAnsi="Arial TUR;Arial Unicode MS"/>
          <w:rtl w:val="true"/>
        </w:rPr>
        <w:t>'</w:t>
      </w:r>
      <w:r>
        <w:rPr>
          <w:rFonts w:ascii="Arial TUR;Arial Unicode MS" w:hAnsi="Arial TUR;Arial Unicode MS" w:cs="Arial TUR;Arial Unicode MS"/>
          <w:rtl w:val="true"/>
        </w:rPr>
        <w:t>בגיר</w:t>
      </w:r>
      <w:r>
        <w:rPr>
          <w:rFonts w:cs="Arial TUR;Arial Unicode MS" w:ascii="Arial TUR;Arial Unicode MS" w:hAnsi="Arial TUR;Arial Unicode MS"/>
          <w:rtl w:val="true"/>
        </w:rPr>
        <w:t>-</w:t>
      </w:r>
      <w:r>
        <w:rPr>
          <w:rFonts w:ascii="Arial TUR;Arial Unicode MS" w:hAnsi="Arial TUR;Arial Unicode MS" w:cs="Arial TUR;Arial Unicode MS"/>
          <w:rtl w:val="true"/>
        </w:rPr>
        <w:t>צעיר</w:t>
      </w:r>
      <w:r>
        <w:rPr>
          <w:rFonts w:cs="Arial TUR;Arial Unicode MS" w:ascii="Arial TUR;Arial Unicode MS" w:hAnsi="Arial TUR;Arial Unicode MS"/>
          <w:rtl w:val="true"/>
        </w:rPr>
        <w:t xml:space="preserve">', </w:t>
      </w:r>
      <w:r>
        <w:rPr>
          <w:rFonts w:ascii="Arial TUR;Arial Unicode MS" w:hAnsi="Arial TUR;Arial Unicode MS" w:cs="Arial TUR;Arial Unicode MS"/>
          <w:rtl w:val="true"/>
        </w:rPr>
        <w:t>או אף בקטין</w:t>
      </w:r>
      <w:r>
        <w:rPr>
          <w:rFonts w:cs="Arial TUR;Arial Unicode MS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Arial TUR;Arial Unicode MS"/>
          <w:rtl w:val="true"/>
        </w:rPr>
        <w:t>ישנם טעמים משמעותיים המחייבים לבכר את שיקולי ההרתעה והגמול על שיקולי השיקום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השוו</w:t>
      </w:r>
      <w:r>
        <w:rPr>
          <w:rFonts w:cs="Calibri" w:ascii="Calibri" w:hAnsi="Calibri"/>
          <w:rtl w:val="true"/>
        </w:rPr>
        <w:t xml:space="preserve">: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2606/13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);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318/11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);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319/11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נפעא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2251/11</w:t>
        </w:r>
      </w:hyperlink>
      <w:r>
        <w:rPr>
          <w:rFonts w:cs="Calibri" w:ascii="Calibri" w:hAnsi="Calibri"/>
          <w:rtl w:val="true"/>
        </w:rPr>
        <w:t xml:space="preserve">),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>."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וממילא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ב</w:t>
      </w:r>
      <w:hyperlink r:id="rId4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526/14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פורסם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בנבו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12.3.14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מבטיחים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ב</w:t>
      </w:r>
      <w:hyperlink r:id="rId4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6136-07-14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בחתונת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החתונה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ב</w:t>
      </w:r>
      <w:hyperlink r:id="rId4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33070-12-11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ההבדלים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היקפם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בולטים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מיעוט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הדמיון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וממילא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כיוונו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44"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ב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מכדור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כסיגריה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גפרור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מעוקר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ייעודו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בהשוואה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להשתנות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תכנון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במתכוון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מסדרת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ותכנון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חלקו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השימושים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ופחעיים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הכשרתו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נרכשה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מהימצאות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הסיבה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שהביאה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תיאבונו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הנרכש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מחושב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ונמשכו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שהופקדה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מתמורתן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לרשותו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זועקת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עבירות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ההפרעה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לשוטר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הנהיגה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בפזיזות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והחבלה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במזיד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20.7.14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לרהט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שתצפתו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</w:rPr>
      </w:pPr>
      <w:r>
        <w:rPr>
          <w:rFonts w:cs="Calibri" w:ascii="Calibri" w:hAnsi="Calibri"/>
          <w:b/>
        </w:rPr>
        <w:t>3</w:t>
      </w:r>
      <w:r>
        <w:rPr>
          <w:rFonts w:cs="Calibri" w:ascii="Calibri" w:hAnsi="Calibri"/>
          <w:b/>
          <w:rtl w:val="true"/>
        </w:rPr>
        <w:t>.</w:t>
        <w:tab/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נמהרת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ההתנהגות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בביטוייה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ובתוצאותיה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ההתנהגויות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ההתנהגויות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הקרובות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הפיזי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ובהתאם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3867/08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סיתאוי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03.09.08</w:t>
      </w:r>
      <w:r>
        <w:rPr>
          <w:rFonts w:cs="Calibri" w:ascii="Calibri" w:hAnsi="Calibri"/>
          <w:rtl w:val="true"/>
        </w:rPr>
        <w:t xml:space="preserve">; 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8704/08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23.4.09</w:t>
      </w:r>
      <w:r>
        <w:rPr>
          <w:rFonts w:cs="Calibri" w:ascii="Calibri" w:hAnsi="Calibri"/>
          <w:rtl w:val="true"/>
        </w:rPr>
        <w:t xml:space="preserve">; 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4836/11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11.1.12</w:t>
      </w:r>
      <w:r>
        <w:rPr>
          <w:rFonts w:cs="Calibri" w:ascii="Calibri" w:hAnsi="Calibri"/>
          <w:rtl w:val="true"/>
        </w:rPr>
        <w:t xml:space="preserve">;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5691/09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בארין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11.10.09</w:t>
      </w:r>
      <w:r>
        <w:rPr>
          <w:rFonts w:cs="Calibri" w:ascii="Calibri" w:hAnsi="Calibri"/>
          <w:rtl w:val="true"/>
        </w:rPr>
        <w:t>).</w:t>
        <w:tab/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ספונטניים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מבוטל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להיתפס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מהסנקציות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במוקדי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וחיכוך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פעילותם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המיטבית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שמהין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אינני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-284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בהצטברותם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מעמידים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160"/>
        <w:ind w:start="720" w:end="-284"/>
        <w:jc w:val="both"/>
        <w:rPr/>
      </w:pPr>
      <w:r>
        <w:rPr>
          <w:rFonts w:ascii="Calibri" w:hAnsi="Calibri" w:cs="Calibri"/>
          <w:rtl w:val="true"/>
        </w:rPr>
        <w:t>הגוף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התאפשרו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– 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האכיפה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במדינה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160"/>
        <w:ind w:start="720" w:end="-284"/>
        <w:jc w:val="both"/>
        <w:rPr/>
      </w:pPr>
      <w:r>
        <w:rPr>
          <w:rFonts w:ascii="Calibri" w:hAnsi="Calibri" w:cs="Calibri"/>
          <w:rtl w:val="true"/>
        </w:rPr>
        <w:t>התפקיד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מילא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160"/>
        <w:ind w:firstLine="720" w:end="-284"/>
        <w:jc w:val="both"/>
        <w:rPr/>
      </w:pPr>
      <w:r>
        <w:rPr>
          <w:rFonts w:ascii="Calibri" w:hAnsi="Calibri" w:cs="Calibri"/>
          <w:rtl w:val="true"/>
        </w:rPr>
        <w:t>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ושנמכר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כבדה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ומשמעותית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160"/>
        <w:ind w:firstLine="720" w:end="-284"/>
        <w:jc w:val="both"/>
        <w:rPr/>
      </w:pP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160"/>
        <w:ind w:firstLine="720" w:end="-284"/>
        <w:jc w:val="both"/>
        <w:rPr/>
      </w:pP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שלאורכה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נמשכה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160"/>
        <w:ind w:firstLine="720" w:end="-284"/>
        <w:jc w:val="both"/>
        <w:rPr/>
      </w:pPr>
      <w:r>
        <w:rPr>
          <w:rFonts w:ascii="Calibri" w:hAnsi="Calibri" w:cs="Calibri"/>
          <w:rtl w:val="true"/>
        </w:rPr>
        <w:t>המספר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160"/>
        <w:ind w:firstLine="720" w:end="-284"/>
        <w:jc w:val="both"/>
        <w:rPr/>
      </w:pP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160"/>
        <w:ind w:start="720" w:end="-284"/>
        <w:jc w:val="both"/>
        <w:rPr/>
      </w:pP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עבריין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. </w:t>
        <w:tab/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שצויינו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ובמשפחותיו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נפוצות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למניעתן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8437865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יחולט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בהתחשב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ההנאה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-284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>.</w:t>
        <w:br/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59422-07-14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יניר טלקר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10"/>
        <w:i w:val="false"/>
        <w:shadow w:val="false"/>
        <w:u w:val="none" w:color="000000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8"/>
      <w:sz w:val="28"/>
      <w:szCs w:val="28"/>
      <w:u w:val="none" w:color="000000"/>
      <w:vertAlign w:val="baselin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  <w:b w:val="fals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cs="Times New Roman"/>
      <w:b w:val="false"/>
      <w:u w:val="none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;Arial Unicode MS" w:hAnsi="Arial TUR;Arial Unicode MS" w:cs="Arial TUR;Arial Unicode MS"/>
      <w:spacing w:val="10"/>
      <w:sz w:val="28"/>
      <w:szCs w:val="28"/>
      <w:lang w:bidi="he-IL"/>
    </w:rPr>
  </w:style>
  <w:style w:type="character" w:styleId="CharChar">
    <w:name w:val=" Char Char"/>
    <w:qFormat/>
    <w:rPr>
      <w:rFonts w:ascii="Calibri" w:hAnsi="Calibri" w:cs="FrankRuehl"/>
      <w:b/>
      <w:sz w:val="28"/>
      <w:szCs w:val="28"/>
      <w:lang w:val="en-US" w:bidi="he-IL"/>
    </w:r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 Unicode MS" w:hAnsi="Arial TUR;Arial Unicode MS" w:cs="Times New Roman"/>
      <w:spacing w:val="10"/>
      <w:sz w:val="28"/>
      <w:szCs w:val="28"/>
      <w:lang w:val="en-US"/>
    </w:rPr>
  </w:style>
  <w:style w:type="paragraph" w:styleId="BodyTextIndent3">
    <w:name w:val="Body Text Indent 3"/>
    <w:basedOn w:val="Normal"/>
    <w:qFormat/>
    <w:pPr>
      <w:spacing w:lineRule="auto" w:line="360"/>
      <w:ind w:hanging="720" w:start="720" w:end="0"/>
    </w:pPr>
    <w:rPr>
      <w:rFonts w:ascii="Calibri" w:hAnsi="Calibri" w:cs="FrankRuehl"/>
      <w:b/>
      <w:sz w:val="28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ind w:hanging="360" w:start="720" w:end="0"/>
    </w:pPr>
    <w:rPr>
      <w:rFonts w:ascii="Garamond" w:hAnsi="Garamond" w:cs="Garamond"/>
      <w:sz w:val="24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248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338" TargetMode="External"/><Relationship Id="rId9" Type="http://schemas.openxmlformats.org/officeDocument/2006/relationships/hyperlink" Target="http://www.nevo.co.il/law/70301/390" TargetMode="External"/><Relationship Id="rId10" Type="http://schemas.openxmlformats.org/officeDocument/2006/relationships/hyperlink" Target="http://www.nevo.co.il/law/70301/413e" TargetMode="External"/><Relationship Id="rId11" Type="http://schemas.openxmlformats.org/officeDocument/2006/relationships/hyperlink" Target="http://www.nevo.co.il/law/70301/390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48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338" TargetMode="External"/><Relationship Id="rId16" Type="http://schemas.openxmlformats.org/officeDocument/2006/relationships/hyperlink" Target="http://www.nevo.co.il/law/70301/275" TargetMode="External"/><Relationship Id="rId17" Type="http://schemas.openxmlformats.org/officeDocument/2006/relationships/hyperlink" Target="http://www.nevo.co.il/law/70301/413e" TargetMode="External"/><Relationship Id="rId18" Type="http://schemas.openxmlformats.org/officeDocument/2006/relationships/hyperlink" Target="http://www.nevo.co.il/case/11273152" TargetMode="External"/><Relationship Id="rId19" Type="http://schemas.openxmlformats.org/officeDocument/2006/relationships/hyperlink" Target="http://www.nevo.co.il/case/6034921" TargetMode="External"/><Relationship Id="rId20" Type="http://schemas.openxmlformats.org/officeDocument/2006/relationships/hyperlink" Target="http://www.nevo.co.il/case/6473037" TargetMode="External"/><Relationship Id="rId21" Type="http://schemas.openxmlformats.org/officeDocument/2006/relationships/hyperlink" Target="http://www.nevo.co.il/case/559842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821327" TargetMode="External"/><Relationship Id="rId24" Type="http://schemas.openxmlformats.org/officeDocument/2006/relationships/hyperlink" Target="http://www.nevo.co.il/case/20455789" TargetMode="External"/><Relationship Id="rId25" Type="http://schemas.openxmlformats.org/officeDocument/2006/relationships/hyperlink" Target="http://www.nevo.co.il/case/8471804" TargetMode="External"/><Relationship Id="rId26" Type="http://schemas.openxmlformats.org/officeDocument/2006/relationships/hyperlink" Target="http://www.nevo.co.il/case/5962025" TargetMode="External"/><Relationship Id="rId27" Type="http://schemas.openxmlformats.org/officeDocument/2006/relationships/hyperlink" Target="http://www.nevo.co.il/case/6248918" TargetMode="External"/><Relationship Id="rId28" Type="http://schemas.openxmlformats.org/officeDocument/2006/relationships/hyperlink" Target="http://www.nevo.co.il/case/6177230" TargetMode="External"/><Relationship Id="rId29" Type="http://schemas.openxmlformats.org/officeDocument/2006/relationships/hyperlink" Target="http://www.nevo.co.il/case/5748124" TargetMode="External"/><Relationship Id="rId30" Type="http://schemas.openxmlformats.org/officeDocument/2006/relationships/hyperlink" Target="http://www.nevo.co.il/case/5786730" TargetMode="External"/><Relationship Id="rId31" Type="http://schemas.openxmlformats.org/officeDocument/2006/relationships/hyperlink" Target="http://www.nevo.co.il/case/272911" TargetMode="External"/><Relationship Id="rId32" Type="http://schemas.openxmlformats.org/officeDocument/2006/relationships/hyperlink" Target="http://www.nevo.co.il/case/6006233" TargetMode="External"/><Relationship Id="rId33" Type="http://schemas.openxmlformats.org/officeDocument/2006/relationships/hyperlink" Target="http://www.nevo.co.il/case/13023134" TargetMode="External"/><Relationship Id="rId34" Type="http://schemas.openxmlformats.org/officeDocument/2006/relationships/hyperlink" Target="http://www.nevo.co.il/case/5821327" TargetMode="External"/><Relationship Id="rId35" Type="http://schemas.openxmlformats.org/officeDocument/2006/relationships/hyperlink" Target="http://www.nevo.co.il/case/6248029" TargetMode="External"/><Relationship Id="rId36" Type="http://schemas.openxmlformats.org/officeDocument/2006/relationships/hyperlink" Target="http://www.nevo.co.il/case/6882160" TargetMode="External"/><Relationship Id="rId37" Type="http://schemas.openxmlformats.org/officeDocument/2006/relationships/hyperlink" Target="http://www.nevo.co.il/case/5692319" TargetMode="External"/><Relationship Id="rId38" Type="http://schemas.openxmlformats.org/officeDocument/2006/relationships/hyperlink" Target="http://www.nevo.co.il/case/5699080" TargetMode="External"/><Relationship Id="rId39" Type="http://schemas.openxmlformats.org/officeDocument/2006/relationships/hyperlink" Target="http://www.nevo.co.il/case/5821327" TargetMode="External"/><Relationship Id="rId40" Type="http://schemas.openxmlformats.org/officeDocument/2006/relationships/hyperlink" Target="http://www.nevo.co.il/case/11269745" TargetMode="External"/><Relationship Id="rId41" Type="http://schemas.openxmlformats.org/officeDocument/2006/relationships/hyperlink" Target="http://www.nevo.co.il/case/17024286" TargetMode="External"/><Relationship Id="rId42" Type="http://schemas.openxmlformats.org/officeDocument/2006/relationships/hyperlink" Target="http://www.nevo.co.il/case/2875597" TargetMode="External"/><Relationship Id="rId43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law/70301/144.b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5920287" TargetMode="External"/><Relationship Id="rId47" Type="http://schemas.openxmlformats.org/officeDocument/2006/relationships/hyperlink" Target="http://www.nevo.co.il/case/6135887" TargetMode="External"/><Relationship Id="rId48" Type="http://schemas.openxmlformats.org/officeDocument/2006/relationships/hyperlink" Target="http://www.nevo.co.il/case/5979555" TargetMode="External"/><Relationship Id="rId49" Type="http://schemas.openxmlformats.org/officeDocument/2006/relationships/hyperlink" Target="http://www.nevo.co.il/case/6027937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2017-04-13T11:16:00Z</dcterms:created>
  <dc:creator> </dc:creator>
  <dc:description/>
  <cp:keywords/>
  <dc:language>en-IL</dc:language>
  <cp:lastModifiedBy>run</cp:lastModifiedBy>
  <dcterms:modified xsi:type="dcterms:W3CDTF">2017-04-13T11:16:00Z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יניר טלקר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11273152;6034921;6473037;5598421;5821327:3;20455789;8471804;5962025;6248918;6177230;5748124;5786730;272911;6006233;13023134;6248029;6882160;5692319;5699080;11269745;17024286;2875597;5920287;6135887;5979555;6027937</vt:lpwstr>
  </property>
  <property fmtid="{D5CDD505-2E9C-101B-9397-08002B2CF9AE}" pid="9" name="CITY">
    <vt:lpwstr>ב"ש</vt:lpwstr>
  </property>
  <property fmtid="{D5CDD505-2E9C-101B-9397-08002B2CF9AE}" pid="10" name="DATE">
    <vt:lpwstr>20160919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70301/390;248;144.b2;338;275;413e;144.a;144.b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59422</vt:lpwstr>
  </property>
  <property fmtid="{D5CDD505-2E9C-101B-9397-08002B2CF9AE}" pid="22" name="NEWPARTB">
    <vt:lpwstr>07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390020160919</vt:lpwstr>
  </property>
  <property fmtid="{D5CDD505-2E9C-101B-9397-08002B2CF9AE}" pid="34" name="TYPE_N_DATE">
    <vt:lpwstr>39020160919</vt:lpwstr>
  </property>
  <property fmtid="{D5CDD505-2E9C-101B-9397-08002B2CF9AE}" pid="35" name="VOLUME">
    <vt:lpwstr/>
  </property>
  <property fmtid="{D5CDD505-2E9C-101B-9397-08002B2CF9AE}" pid="36" name="WORDNUMPAGES">
    <vt:lpwstr>19</vt:lpwstr>
  </property>
</Properties>
</file>