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59533-10-15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מי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רן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כח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אדם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sz w:val="26"/>
                <w:szCs w:val="26"/>
                <w:rtl w:val="true"/>
              </w:rPr>
              <w:t>'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95"/>
        <w:gridCol w:w="4226"/>
        <w:gridCol w:w="3399"/>
      </w:tblGrid>
      <w:tr>
        <w:trPr>
          <w:trHeight w:val="29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דנה אמיר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42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 ת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א </w:t>
            </w:r>
            <w:r>
              <w:rPr>
                <w:rFonts w:cs="Arial" w:ascii="Arial" w:hAnsi="Arial"/>
                <w:sz w:val="26"/>
                <w:szCs w:val="26"/>
              </w:rPr>
              <w:t>3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מדור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תביעות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מס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הכנסה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א</w:t>
            </w:r>
          </w:p>
        </w:tc>
        <w:tc>
          <w:tcPr>
            <w:tcW w:w="339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2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39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73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62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42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1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רן כח אדם בע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2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ציון עזרא צדוק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39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80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2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39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נוכחים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חגי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3" w:name="Links_Start"/>
      <w:bookmarkEnd w:id="3"/>
      <w:r>
        <w:rPr>
          <w:rFonts w:ascii="FrankRuehl" w:hAnsi="FrankRuehl" w:cs="FrankRuehl"/>
          <w:rtl w:val="true"/>
        </w:rPr>
        <w:t>ספרות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יוסף גרוס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אברהם אלתר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מס ערך מוסף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1987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start"/>
        <w:rPr/>
      </w:pPr>
      <w:bookmarkStart w:id="4" w:name="Links_End"/>
      <w:bookmarkEnd w:id="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118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217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219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רקע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ותמצית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cs="Times New Roman"/>
          <w:b/>
          <w:bCs/>
        </w:rPr>
      </w:pPr>
      <w:bookmarkStart w:id="9" w:name="ABSTRACT_START"/>
      <w:bookmarkEnd w:id="9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"),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הפקודה</w:t>
      </w:r>
      <w:r>
        <w:rPr>
          <w:rtl w:val="true"/>
        </w:rPr>
        <w:t xml:space="preserve">").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הנאשמת</w:t>
      </w:r>
      <w:r>
        <w:rPr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2013-2017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במועדם</w:t>
      </w:r>
      <w:r>
        <w:rPr>
          <w:rtl w:val="true"/>
        </w:rPr>
        <w:t xml:space="preserve">, </w:t>
      </w:r>
      <w:r>
        <w:rPr>
          <w:rtl w:val="true"/>
        </w:rPr>
        <w:t>כחובתם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)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4,183,118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3,921,873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1,211,203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cs="Times New Roman"/>
          <w:b/>
          <w:bCs/>
        </w:rPr>
      </w:pPr>
      <w:bookmarkStart w:id="10" w:name="ABSTRACT_END"/>
      <w:bookmarkEnd w:id="10"/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/>
        <w:t>2-18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/>
        <w:t>2-18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2016-2017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ממשכורותיהם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1,091,297</w:t>
      </w:r>
      <w:r>
        <w:rPr>
          <w:b/>
          <w:bCs/>
          <w:rtl w:val="true"/>
        </w:rPr>
        <w:t xml:space="preserve"> ₪. 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b/>
          <w:bCs/>
          <w:u w:val="single"/>
        </w:rPr>
      </w:pP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.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)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22.2.18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433,000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הניכויים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b/>
          <w:bCs/>
          <w:u w:val="single"/>
        </w:rPr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נעתרתי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הניכויים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ascii="Calibri" w:hAnsi="Calibri" w:cs="Calibri"/>
          <w:rtl w:val="true"/>
        </w:rPr>
        <w:t xml:space="preserve"> על סך </w:t>
      </w:r>
      <w:r>
        <w:rPr>
          <w:rFonts w:cs="Calibri" w:ascii="Calibri" w:hAnsi="Calibri"/>
        </w:rPr>
        <w:t>119,652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לדעת המאשימה ועל פי מצב חשבון שצורף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לדעת 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המדובר בסכום של  </w:t>
      </w:r>
      <w:r>
        <w:rPr>
          <w:rFonts w:cs="Calibri" w:ascii="Calibri" w:hAnsi="Calibri"/>
        </w:rPr>
        <w:t>60,610</w:t>
      </w:r>
      <w:r>
        <w:rPr>
          <w:rFonts w:cs="Calibri" w:ascii="Calibri" w:hAnsi="Calibri"/>
          <w:rtl w:val="true"/>
        </w:rPr>
        <w:t xml:space="preserve"> ₪. 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לניכויים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סבג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מילדות</w:t>
      </w:r>
      <w:r>
        <w:rPr>
          <w:rtl w:val="true"/>
        </w:rPr>
        <w:t xml:space="preserve">, </w:t>
      </w:r>
      <w:r>
        <w:rPr>
          <w:rtl w:val="true"/>
        </w:rPr>
        <w:t>וכשנפצע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לאחייניתו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ומצבה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השתנה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עיקרי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שפין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גרוס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טענה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לעונש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מטעם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Calibri" w:ascii="Calibri" w:hAnsi="Calibri"/>
        </w:rPr>
        <w:t>4,144,000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 עבירות המע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והדגישה כי גם בראי סכום המחדל לשיטת הסנגור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שהוא בסך </w:t>
      </w:r>
      <w:r>
        <w:rPr>
          <w:rFonts w:cs="Calibri" w:ascii="Calibri" w:hAnsi="Calibri"/>
        </w:rPr>
        <w:t>3,794,196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הרי שמדובר במקרה ובסכום חריג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בטיעוניה ציינה כי רשות המסים הלכה כברת דרך לקראת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הסכימה לדחיית הדיונים בתיק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הוגש עוד בשנת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 xml:space="preserve">בגין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דוחות שהוגשו באיחור ושולמו ושלושה אשר לא הוגשו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ואף ערכה עמו הסדרים להסרת המחדל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הבטיח פעם אחר פעם לעמוד בהסדרים אך בפועל צבר עבירות נוספות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בסכומים ניכרים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הביאו לתיקון כתב האישום בפעם השנייה ולבסוף בשלישית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ציינה באשר 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זה בקיא בהתנהלות מול רשות המסים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לחובתו הרשעה קודמת משנת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בגין ביצוע עבירות מס הכנסה על פי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לפקודה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הוטלו עליו בעבר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קנסות מנהליים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 הבהירה כי היא מודעת לנסיבותיו האישיות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הדגישה כי הטרגדיות המשפחתיות שחווה לא הפריעו לו להמשיך ולנהל את עסקו בהיקפים גדולים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שפין גרוס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 כי בנסיבותיו החמורות של תיק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הנובעות מהשיטתיות שבביצוע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ביצוען של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 מתוך כלל העבירות לאחר הגשת כתב האישום ובעת שההליך התנהל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לצד סכום המחדל אשר לא 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הנזק העצום שנגרם לקופה הציבורית והפגיעה הממשית והחמורה בערכים המוגנים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העונש אשר יושת על הנאשם להיות ממשי ומכביד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 המע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 בכללותן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 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צריך שיקבע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חודשי מאסר בפועל לצד קנס ומאסר על תנאי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בשקלול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מס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הכנסה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המהוות אירוע נפרד לטעמה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טוענת המאשימה 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כולל שהוא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 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5%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10%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המחדל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שתיקה ברשות המסים נסגר בחודש מאי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 דין בהם נדונו נסיבות חמורות וסכומי מחדל גבוהים כמו במקרה 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חגי</w:t>
      </w:r>
      <w:r>
        <w:rPr>
          <w:rFonts w:ascii="Calibri" w:hAnsi="Calibri" w:cs="Calibri"/>
          <w:rtl w:val="true"/>
        </w:rPr>
        <w:t xml:space="preserve"> טענה לעונש מטעם מדור תביעות מס הכנסה והצטרפה לטיעוניה של 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שפין גרוס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בטיעוניה הדגישה כי עבירה של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הגניבה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 ציינה 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סכום המחדל ביחס לעבירות הניכויים המפורטות בכתב האישום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 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שקלים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 למועד הטיעון 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805,000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קרן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כולל ריבית והצמדה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840,000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פי הודעת העדכון 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22.2.18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433,000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</w:t>
      </w:r>
      <w:r>
        <w:rPr>
          <w:rFonts w:ascii="Calibri" w:hAnsi="Calibri" w:cs="Calibri"/>
          <w:rtl w:val="true"/>
        </w:rPr>
        <w:t xml:space="preserve"> עבירות הניכויים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כך שבאותו מועד עמד סכום מחדל עבירות הניכויים במונחי קרן על סך </w:t>
      </w:r>
      <w:r>
        <w:rPr>
          <w:rFonts w:cs="Calibri" w:ascii="Calibri" w:hAnsi="Calibri"/>
        </w:rPr>
        <w:t>399,910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421,080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 ריבית והצמדה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 xml:space="preserve">בחודש מרץ </w:t>
      </w:r>
      <w:r>
        <w:rPr>
          <w:rFonts w:cs="Calibri" w:ascii="Calibri" w:hAnsi="Calibri"/>
        </w:rPr>
        <w:t>2019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התקבל עדכון מאת המאשימה לפיו אושר החזר מס לנאשמת בגין דוח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 נזקף לטובת חוב הניכויים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 xml:space="preserve">משכך כיום מחדל עבירות הניכויים עומד על סך </w:t>
      </w:r>
      <w:r>
        <w:rPr>
          <w:rFonts w:cs="Calibri" w:ascii="Calibri" w:hAnsi="Calibri"/>
        </w:rPr>
        <w:t>119,652</w:t>
      </w:r>
      <w:r>
        <w:rPr>
          <w:rFonts w:cs="Calibri" w:ascii="Calibri" w:hAnsi="Calibri"/>
          <w:rtl w:val="true"/>
        </w:rPr>
        <w:t xml:space="preserve"> ₪ (</w:t>
      </w:r>
      <w:r>
        <w:rPr>
          <w:rFonts w:ascii="Calibri" w:hAnsi="Calibri" w:cs="Calibri"/>
          <w:rtl w:val="true"/>
        </w:rPr>
        <w:t>לדעת המאשימה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60,610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 xml:space="preserve">לדעת הסנגור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3.4.2019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לטעמה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בגין עבירות הניכויים בכללותן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הן אירוע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12-24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גם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ד מורן חגי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וציינה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 דין בהם נדונו סכומי מחדל גבוהים כמו במקרה 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על הנאשם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10%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הניכויים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כן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הטיל על ה</w:t>
      </w:r>
      <w:r>
        <w:rPr>
          <w:rFonts w:ascii="Calibri" w:hAnsi="Calibri" w:cs="Calibri"/>
          <w:rtl w:val="true"/>
        </w:rPr>
        <w:t>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עיקרי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</w:t>
      </w:r>
      <w:r>
        <w:rPr>
          <w:rFonts w:ascii="Calibri" w:hAnsi="Calibri" w:cs="Calibri"/>
          <w:b/>
          <w:b/>
          <w:bCs/>
          <w:u w:val="single"/>
          <w:rtl w:val="true"/>
        </w:rPr>
        <w:t>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בפתח טיעוניו הדגיש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את שנותיו של הנאשם כעוסק וחברה בתחום כוח האדם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תוך שהעסיק בין </w:t>
      </w:r>
      <w:r>
        <w:rPr>
          <w:rFonts w:cs="Calibri" w:ascii="Calibri" w:hAnsi="Calibri"/>
        </w:rPr>
        <w:t>200-400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כשלמעט הסתבכותו המפורטת בגזר הדין משנת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לא הסתבך עם רשויות המס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בהן הורשע הנאשם </w:t>
      </w:r>
      <w:r>
        <w:rPr>
          <w:rFonts w:ascii="Calibri" w:hAnsi="Calibri" w:cs="Calibri"/>
          <w:rtl w:val="true"/>
        </w:rPr>
        <w:t>מעידות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לו כל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להתמוטטות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ולסגירת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אפריל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ולטרגדיות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ר </w:t>
      </w:r>
      <w:r>
        <w:rPr>
          <w:rFonts w:ascii="Calibri" w:hAnsi="Calibri" w:cs="Calibri"/>
          <w:rtl w:val="true"/>
        </w:rPr>
        <w:t>פקדו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השפיעו לטענתו על חייו ועל ניהול הנאשמת על ידו בתקופה הרלבנטית לביצוע 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כך ציין את פטירת אמו של הנאשם בשנת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מחלת אביו בסרטן בשנת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ופטירתו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פטירת אחותו הצעירה ממחלת הסרטן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פטירתה של </w:t>
      </w:r>
      <w:r>
        <w:rPr>
          <w:rFonts w:ascii="Calibri" w:hAnsi="Calibri" w:cs="Calibri"/>
          <w:rtl w:val="true"/>
        </w:rPr>
        <w:t>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פטירת אחיו ממחלת הסרטן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 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כשאחיינו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וטיפל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נפטר</w:t>
      </w:r>
      <w:r>
        <w:rPr>
          <w:rFonts w:ascii="Calibri" w:hAnsi="Calibri" w:cs="Calibri"/>
          <w:rtl w:val="true"/>
        </w:rPr>
        <w:t xml:space="preserve"> גם הוא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לדבריי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 הטרגדיות המפורטות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נעדר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 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 נכנסו לסחרור 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והתנהלות לקויה תוך שניסו להמשיך ולעבוד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שילמו לעובדים אשר דרשו את משכורתם ולכן לא היה בידיהם לשלם את תשלומי המסים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לבסוף הנאשמת </w:t>
      </w:r>
      <w:r>
        <w:rPr>
          <w:rFonts w:ascii="Calibri" w:hAnsi="Calibri" w:cs="Calibri"/>
          <w:rtl w:val="true"/>
        </w:rPr>
        <w:t>קרסה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ונסגרה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עוד הדגיש שאת כל חסכונותיו משך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 השקיע הנאשם בנאשמת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בנוסף טען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המשכורות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320,000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למשטרה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התלונה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טען כי הענישה היא אינדיווידואלית ויש לבחון את נסיבותיו הקונקרטיות של הנאשם והגיש טבלת פסיקה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לקבוע כי 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בגין עבירות מע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מ הוא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המחדלים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 למתחם העונש בגין עבירות הניכויים טען למתחם 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 לקביעת כלל עבירות המע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 כאירוע אחד ועבירות הניכויים כאירוע 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וטען כי יש לחפוף באופן מלא בין המתחמים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 לנסיבותיו הקונקרטיות של הנאשם הפנה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לכך ש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4,7,8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ושליחתו 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מצויה </w:t>
      </w:r>
      <w:r>
        <w:rPr>
          <w:rFonts w:ascii="Calibri" w:hAnsi="Calibri" w:cs="Calibri"/>
          <w:rtl w:val="true"/>
        </w:rPr>
        <w:t>בפחד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 רצונה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 הדגיש 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 הסובלת מדאבת שרירים ולטענתו אינה 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בעניינו של הנאשם ורעייתו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פוליפים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הנמצא</w:t>
      </w:r>
      <w:r>
        <w:rPr>
          <w:rFonts w:ascii="Calibri" w:hAnsi="Calibri" w:cs="Calibri"/>
          <w:rtl w:val="true"/>
        </w:rPr>
        <w:t>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 טען כי מצבו הנפשי של הנאשם קשה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 לכך ש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 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במלח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,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אותו </w:t>
      </w:r>
      <w:r>
        <w:rPr>
          <w:rFonts w:ascii="Calibri" w:hAnsi="Calibri" w:cs="Calibri"/>
          <w:rtl w:val="true"/>
        </w:rPr>
        <w:t>מימן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ופעל בו </w:t>
      </w:r>
      <w:r>
        <w:rPr>
          <w:rFonts w:ascii="Calibri" w:hAnsi="Calibri" w:cs="Calibri"/>
          <w:rtl w:val="true"/>
        </w:rPr>
        <w:t>פעמיים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 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 להליכים בתיק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 אחריות והביע חרטה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עשה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ממשיים </w:t>
      </w:r>
      <w:r>
        <w:rPr>
          <w:rFonts w:ascii="Calibri" w:hAnsi="Calibri" w:cs="Calibri"/>
          <w:rtl w:val="true"/>
        </w:rPr>
        <w:t>להסרת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המחדלים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 להסדרים וחלקם כשלו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הוטלו עיקולים והנאשם פנה לשוק האפור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עוד הדגיש כי מהמפורט בכתב האישום המתוקן בשלישית בסעיף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ניתן ללמוד כי הגם שאיחר בהגשת דוחות בסך של מעל ל </w:t>
      </w:r>
      <w:r>
        <w:rPr>
          <w:rFonts w:cs="Calibri" w:ascii="Calibri" w:hAnsi="Calibri"/>
        </w:rPr>
        <w:t>4,000,000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לבסוף הגישם גם אם באיחור ואף שילם את המס הנובע מהם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הסיר מחדל נוסף בגובה </w:t>
      </w:r>
      <w:r>
        <w:rPr>
          <w:rFonts w:cs="Calibri" w:ascii="Calibri" w:hAnsi="Calibri"/>
        </w:rPr>
        <w:t>1,300,000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 שמלמד על מאמציו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 לזקוף זאת לזכותו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 ציין את הקטנת המחדל ביחס לעבירות הניכויים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 ל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אין כיום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נכס</w:t>
      </w:r>
      <w:r>
        <w:rPr>
          <w:rFonts w:ascii="Calibri" w:hAnsi="Calibri" w:cs="Calibri"/>
          <w:rtl w:val="true"/>
        </w:rPr>
        <w:t>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מתקשה למצוא עבודה שכן כש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למעסיקים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 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להעסיקו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לסיכום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דברי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משתדל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שערך עם רשות המסים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בעיקר מע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הקושי לעמוד בהסדרים נבע גם מכך שהיה מקרה בו מס הכנסה החליט שלא לאפשר לו ניכוי מס במקור בשיעור נמוך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לאור שביתה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שנערכה במס הכנסה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 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לא יכול היה לעמוד בהסדרים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בשל כך שמהסכומים המגיעים לנאשמים נוכה מס במקור על ידי לקוחות בשיעור של </w:t>
      </w:r>
      <w:r>
        <w:rPr>
          <w:rFonts w:cs="Calibri" w:ascii="Calibri" w:hAnsi="Calibri"/>
        </w:rPr>
        <w:t>30%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חלף </w:t>
      </w:r>
      <w:r>
        <w:rPr>
          <w:rFonts w:cs="Calibri" w:ascii="Calibri" w:hAnsi="Calibri"/>
        </w:rPr>
        <w:t>3%</w:t>
      </w:r>
      <w:r>
        <w:rPr>
          <w:rFonts w:cs="Calibri" w:ascii="Calibri" w:hAnsi="Calibri"/>
          <w:rtl w:val="true"/>
        </w:rPr>
        <w:t xml:space="preserve"> - </w:t>
      </w:r>
      <w:r>
        <w:rPr>
          <w:rFonts w:cs="Calibri" w:ascii="Calibri" w:hAnsi="Calibri"/>
        </w:rPr>
        <w:t>5%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בעקבות 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הוטלו עיקולים על ידי רשות המסים אצל לקוחותיו עד שהעסק קרס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נסגרה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שלקחתי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הלך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  <w:b/>
          <w:bCs/>
          <w:u w:val="single"/>
          <w:lang w:eastAsia="he-IL"/>
        </w:rPr>
      </w:pPr>
      <w:r>
        <w:rPr>
          <w:rFonts w:cs="Calibri" w:ascii="Calibri" w:hAnsi="Calibri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Cs/>
          <w:u w:val="single"/>
          <w:rtl w:val="true"/>
          <w:lang w:eastAsia="he-IL"/>
        </w:rPr>
        <w:t>דיון</w:t>
      </w:r>
      <w:r>
        <w:rPr>
          <w:rFonts w:ascii="Calibri" w:hAnsi="Calibri" w:cs="Calibri"/>
          <w:bCs/>
          <w:u w:val="single"/>
          <w:rtl w:val="true"/>
          <w:lang w:eastAsia="he-IL"/>
        </w:rPr>
        <w:t xml:space="preserve"> </w:t>
      </w:r>
      <w:r>
        <w:rPr>
          <w:rFonts w:cs="Calibri" w:ascii="Calibri" w:hAnsi="Calibri"/>
          <w:bCs/>
          <w:u w:val="single"/>
          <w:rtl w:val="true"/>
          <w:lang w:eastAsia="he-IL"/>
        </w:rPr>
        <w:t xml:space="preserve">- </w:t>
      </w:r>
      <w:r>
        <w:rPr>
          <w:rFonts w:ascii="Calibri" w:hAnsi="Calibri" w:cs="Calibri"/>
          <w:bCs/>
          <w:u w:val="single"/>
          <w:rtl w:val="true"/>
          <w:lang w:eastAsia="he-IL"/>
        </w:rPr>
        <w:t>קביעת</w:t>
      </w:r>
      <w:r>
        <w:rPr>
          <w:rFonts w:ascii="Calibri" w:hAnsi="Calibri" w:cs="Calibri"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Cs/>
          <w:u w:val="single"/>
          <w:rtl w:val="true"/>
          <w:lang w:eastAsia="he-IL"/>
        </w:rPr>
        <w:t>מתחם</w:t>
      </w:r>
      <w:r>
        <w:rPr>
          <w:rFonts w:ascii="Calibri" w:hAnsi="Calibri" w:cs="Calibri"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Cs/>
          <w:u w:val="single"/>
          <w:rtl w:val="true"/>
          <w:lang w:eastAsia="he-IL"/>
        </w:rPr>
        <w:t>העונש</w:t>
      </w:r>
      <w:r>
        <w:rPr>
          <w:rFonts w:ascii="Calibri" w:hAnsi="Calibri" w:cs="Calibri"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 שבדרך כלל בסוג זה של עבירות נקבעת כל עבירה כאירוע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 עמדת הצדדים מצאתי לקבוע קיומם של שני אירועים בנסיבות המקרה דנן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בגין העבירות אשר בוצעו על פי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בגין עבירות אי העברת המס אשר נוכה במקור על פי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מס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הכנסה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בעת גזירת העונש הקונקרטי ניתן לחפוף במידת מה בין המתחמים בשים לב לכך שחלק מן העבירות נעברו באותה התקופה ונראה כי זו גם עמדת המאשימה מהצגת המתחם הכולל על ידה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/>
      </w:pP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וכוללים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מאזרחיה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בשוויון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בעוסק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נישום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וידווח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 ממנו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בנטל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לכלכלת המדינה ו</w:t>
      </w:r>
      <w:r>
        <w:rPr>
          <w:rFonts w:ascii="Calibri" w:hAnsi="Calibri" w:cs="Calibri"/>
          <w:rtl w:val="true"/>
        </w:rPr>
        <w:t>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שכשבעבירות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צינור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וניתן בנאשמים אמון כי כך יעשו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 אמורים גם 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הניכויים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ואף נקבע כי עבירות אלה נושקות לעבירת גניבה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 xml:space="preserve"> (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color w:val="000000"/>
          <w:rtl w:val="true"/>
        </w:rPr>
        <w:t>רע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97/26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לקס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22.6.1998</w:t>
      </w:r>
      <w:r>
        <w:rPr>
          <w:rtl w:val="true"/>
        </w:rPr>
        <w:t xml:space="preserve">), </w:t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4844/00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ברקאי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37</w:t>
      </w:r>
      <w:r>
        <w:rPr>
          <w:rtl w:val="true"/>
        </w:rPr>
        <w:t xml:space="preserve">, </w:t>
      </w:r>
      <w:r>
        <w:rPr/>
        <w:t>46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ברקאי</w:t>
      </w:r>
      <w:r>
        <w:rPr>
          <w:rtl w:val="true"/>
        </w:rPr>
        <w:t>")</w:t>
      </w:r>
      <w:r>
        <w:rPr>
          <w:b/>
          <w:bCs/>
          <w:rtl w:val="true"/>
        </w:rPr>
        <w:t xml:space="preserve">, </w:t>
      </w:r>
      <w:hyperlink r:id="rId2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28376-10-13</w:t>
        </w:r>
      </w:hyperlink>
      <w:r>
        <w:rPr>
          <w:b/>
          <w:bCs/>
          <w:rtl w:val="true"/>
        </w:rPr>
        <w:t xml:space="preserve">‏ </w:t>
      </w:r>
      <w:r>
        <w:rPr>
          <w:b/>
          <w:b/>
          <w:bCs/>
          <w:rtl w:val="true"/>
        </w:rPr>
        <w:t>יחזקאל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18.12.2013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9.2.2011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בדימוס</w:t>
      </w:r>
      <w:r>
        <w:rPr>
          <w:rtl w:val="true"/>
        </w:rPr>
        <w:t xml:space="preserve">) </w:t>
      </w:r>
      <w:r>
        <w:rPr>
          <w:rtl w:val="true"/>
        </w:rPr>
        <w:t>ברלינר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56406-05-17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כובאני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מיסוי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hyperlink r:id="rId2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12830-06-17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אלבחר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תביעות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3.10.2018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כובאני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ואלבחר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בחינת נסיבות ביצוען של העבירות מלמדת על מידת פגיעה גבוהה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ממשית ויוצאת דופן בערכים המוגנים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ביחס לאירוע 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עולה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בסך של </w:t>
      </w:r>
      <w:r>
        <w:rPr>
          <w:rFonts w:cs="Calibri" w:ascii="Calibri" w:hAnsi="Calibri"/>
          <w:b/>
          <w:bCs/>
        </w:rPr>
        <w:t>5,133,076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בנוסף 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הגישו דוחות באיחור בסך של </w:t>
      </w:r>
      <w:r>
        <w:rPr>
          <w:b/>
          <w:bCs/>
        </w:rPr>
        <w:t>4,183,118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בשיטתיות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כשחלק ניכר מהן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אף בוצע לאחר שהוגש כתב האישום המקורי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שניתנת 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באותו הזמן 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הזדמנות להסיר המחדלים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ובקשר לאירוע 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הנאשמים </w:t>
      </w:r>
      <w:r>
        <w:rPr>
          <w:rFonts w:ascii="Calibri" w:hAnsi="Calibri" w:cs="Calibri"/>
          <w:rtl w:val="true"/>
        </w:rPr>
        <w:t>מס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ממשכורותיהם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לסירוגין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2015-2017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בסך של </w:t>
      </w:r>
      <w:r>
        <w:rPr>
          <w:rFonts w:cs="Calibri" w:ascii="Calibri" w:hAnsi="Calibri"/>
          <w:b/>
          <w:bCs/>
        </w:rPr>
        <w:t>1,091,297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Times New Roman"/>
          <w:b/>
          <w:bCs/>
          <w:rtl w:val="true"/>
        </w:rPr>
        <w:t>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מרבית מרביתן של העבירות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למעט שתיים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נעברו לאחר הגשת כתב האישום המקורי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אמנם העבירות בהן הורשעו הנאשמים לא נעברו מתוך כוונה להתחמק מתשלום מס ולכך משמעות בעת קביעת המתחם והעונש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 המדובר בעבירות במדרג הגבוה של עבירות המס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 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דומה כי מקרה זה מדגים באופן ברור את העובדה שעל אף שהעבירות בהן הורשעו הנאשמים מכונות באופן תדיר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עבירות טכניות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הרי שהנזק אשר עלול להיגרם מביצוען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ובמקרה זה אף נגרם הלכה 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 טכני כלל ועיקר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 זה מדובר נזק ממשי ואדיר בסכום של מיליוני שקלים אשר נגרעו מקופת המדינה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מן העובדות והסברי הנאשם ובא כוחו בעת הטיעונים לעונש עולה כי הנאשמים העדיפו למעשה להמשיך ולהפעיל את עסקם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 קשיים כלכליים ואישיים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תשלום לעובדים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חלף תשלום מסים ותוך ביצוע עבירות באופן שיטתי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 האמורות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 להקל ראש כלל במצבו האישי והרפואי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ובטרגדיות האישיות אשר תקפו את משפחתו והשפיעו על תפקודו בניהול הנאשמת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אינני מוצאת אף לתת לנסיבותיו האישיות משקל מכריע בעת בחינת נסיבות ביצוע העבירות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יש טעם בטענה לפיה חרף הטרגדיות אשר פקדו את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ומבלי להקל ראש בקושי להתמודד עמן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בחר הנאשם להמשיך ולנהל את הנאשמת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וככל שכך מצא לנכון לעשות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בין או בכוחות עצמו ובין אם ביחד עם עובדים שמינה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היה עליו לנהוג באחריות ועל פי 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לדווח במועד ולהעביר את כספי המסים כנדרש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ככל שלא היה ביכולתו לעשות כן בשל קשיים כלכליים ואישיים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יכול וצריך היה להפסיק את פעילות עסקו במסגרת הנאשמת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חלף שימוש בכספי המסים לצורך תשלום לעובדים או לאחרים על חשבון הקופה הציבורית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ראו בהקשר זה דברי </w:t>
      </w:r>
      <w:r>
        <w:rPr>
          <w:rFonts w:ascii="Calibri" w:hAnsi="Calibri" w:cs="Calibri"/>
          <w:rtl w:val="true"/>
        </w:rPr>
        <w:t>כבוד השופט</w:t>
      </w:r>
      <w:r>
        <w:rPr>
          <w:rFonts w:ascii="Calibri" w:hAnsi="Calibri" w:cs="Calibri"/>
          <w:rtl w:val="true"/>
        </w:rPr>
        <w:t xml:space="preserve"> שהם ב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1688/14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כץ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9.3.2014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והפנייתו לעניין ברקאי שם נקבע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לפרט אין זכות לבסס המשך פעילותו העסקית על כספים שאינם שייכים לו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הדברים אף מקבלים משנה תוקף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ונשקלים לחומרה רבה יותר משבחר הנאשם להמשיך ולפעול כאמור תוך ביצוע העבירות הנוספות גם כשכתב האישום הנדון היה תלוי ועומד כנגדו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משך כמעט כשנתיים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בהיקפים אדירים וזאת מבלי להתעלם מכך שניסה לעמוד בהסדרי תשלומים עם רשות המסים ואף עמד בחלקם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בנסיבות 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 אין משמעות רבה לטענה לפיה לא נצבר לנאשם כל רווח מפעילותו העסקית בנאשמת או לכך שנותר חסר כל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 לטענה בדבר גניבה שבוצעה בידי מי מעובדיו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 זו לא בוססה עובדתית וממלא איננה רלבנטית לנדון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David" w:hAnsi="David"/>
          <w:rtl w:val="true"/>
        </w:rPr>
        <w:t>עיינתי בפסיקה אליה הפנו הצדדים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מנעד רחב של עונשים בעבירות מהסוג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ומדיניות 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מושפעת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מהשיטתיות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והיקפם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מביצוע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המחדל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 יש לזכור 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שנקבע 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נגד</w:t>
      </w:r>
      <w:r>
        <w:rPr>
          <w:rFonts w:ascii="David" w:hAnsi="David"/>
          <w:b/>
          <w:b/>
          <w:bCs/>
          <w:rtl w:val="true"/>
        </w:rPr>
        <w:t xml:space="preserve"> 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17.11.2016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אריתמטי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המבוססת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cs="Calibri" w:ascii="Calibri" w:hAnsi="Calibri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12063-04-15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בראונר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20.07.2015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ודבריי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ברלינר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כתוארה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לפיהם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מדויק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6544/16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ניסנצויג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21.2.2017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מעיון בפסיקה ניתן 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בראייה כוללת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מחדלים</w:t>
      </w:r>
      <w:r>
        <w:rPr>
          <w:rtl w:val="true"/>
        </w:rPr>
        <w:t xml:space="preserve">. </w:t>
      </w:r>
      <w:r>
        <w:rPr>
          <w:rtl w:val="true"/>
        </w:rPr>
        <w:t>כדוגמא</w:t>
      </w:r>
      <w:r>
        <w:rPr>
          <w:rtl w:val="true"/>
        </w:rPr>
        <w:t xml:space="preserve">, </w:t>
      </w:r>
      <w:r>
        <w:rPr>
          <w:rFonts w:ascii="Calibri" w:hAnsi="Calibri" w:cs="Calibri"/>
          <w:rtl w:val="true"/>
        </w:rPr>
        <w:t>בחרתי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לפסקי הדין הבאים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שאציין שהמדובר במקרים בהם סכום המחדלים היה נמוך בהרבה מהסכומים במקרה שלפני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jc w:val="both"/>
        <w:rPr>
          <w:rFonts w:ascii="Calibri" w:hAnsi="Calibri" w:cs="Calibri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29.6.2015</w:t>
      </w:r>
      <w:r>
        <w:rPr>
          <w:rtl w:val="true"/>
        </w:rPr>
        <w:t xml:space="preserve">),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jc w:val="both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11640/05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14.5.2006</w:t>
      </w:r>
      <w:r>
        <w:rPr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270,000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jc w:val="both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עתאמלה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22.10.2008</w:t>
      </w:r>
      <w:r>
        <w:rPr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₪. 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104,000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jc w:val="both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ספקיורטי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המרכזי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19.2.2012</w:t>
      </w:r>
      <w:r>
        <w:rPr>
          <w:rtl w:val="true"/>
        </w:rPr>
        <w:t xml:space="preserve">),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412,000</w:t>
      </w:r>
      <w:r>
        <w:rPr>
          <w:rtl w:val="true"/>
        </w:rPr>
        <w:t xml:space="preserve"> ₪ (</w:t>
      </w:r>
      <w:r>
        <w:rPr>
          <w:rtl w:val="true"/>
        </w:rPr>
        <w:t>קרן</w:t>
      </w:r>
      <w:r>
        <w:rPr>
          <w:rtl w:val="true"/>
        </w:rPr>
        <w:t xml:space="preserve">),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₪.</w:t>
      </w:r>
    </w:p>
    <w:p>
      <w:pPr>
        <w:pStyle w:val="Normal"/>
        <w:numPr>
          <w:ilvl w:val="0"/>
          <w:numId w:val="4"/>
        </w:numPr>
        <w:autoSpaceDE w:val="false"/>
        <w:spacing w:lineRule="auto" w:line="360" w:before="0" w:after="160"/>
        <w:ind w:hanging="357" w:start="714" w:end="0"/>
        <w:jc w:val="both"/>
        <w:rPr/>
      </w:pP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288/13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rtl w:val="true"/>
        </w:rPr>
        <w:t>אלחלאווה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14.1.2013</w:t>
      </w:r>
      <w:r>
        <w:rPr>
          <w:rtl w:val="true"/>
        </w:rPr>
        <w:t xml:space="preserve">)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425,408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autoSpaceDE w:val="false"/>
        <w:spacing w:lineRule="auto" w:line="360" w:before="0" w:after="160"/>
        <w:ind w:hanging="357" w:start="714" w:end="0"/>
        <w:jc w:val="both"/>
        <w:rPr>
          <w:rFonts w:ascii="David" w:hAnsi="David" w:cs="David"/>
        </w:rPr>
      </w:pP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5389/15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אבנר יצחק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10.8.2015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במקרה 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נדחתה בקשת רשות ערעור של המבקש 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בביצוע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 של אי הגשת דוחות תקופתיים למע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המבקש נידון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 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25,000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₪. </w:t>
      </w:r>
    </w:p>
    <w:p>
      <w:pPr>
        <w:pStyle w:val="Normal"/>
        <w:numPr>
          <w:ilvl w:val="0"/>
          <w:numId w:val="4"/>
        </w:numPr>
        <w:autoSpaceDE w:val="false"/>
        <w:spacing w:lineRule="auto" w:line="360" w:before="0" w:after="160"/>
        <w:ind w:hanging="357" w:start="714" w:end="0"/>
        <w:jc w:val="both"/>
        <w:rPr>
          <w:rFonts w:ascii="Calibri" w:hAnsi="Calibri" w:cs="Calibri"/>
        </w:rPr>
      </w:pP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1552/11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9.2.2011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נדחתה בקשת רשות ערעור 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 שהורשע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שנוכה בסך </w:t>
      </w:r>
      <w:r>
        <w:rPr>
          <w:rFonts w:cs="David" w:ascii="David" w:hAnsi="David"/>
        </w:rPr>
        <w:t>153,924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 הגשת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₪. </w:t>
      </w:r>
      <w:r>
        <w:rPr>
          <w:rFonts w:ascii="Calibri" w:hAnsi="Calibri" w:cs="Calibri"/>
          <w:rtl w:val="true"/>
        </w:rPr>
        <w:t>בעת הערעור הוסר המחדל 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</w:t>
      </w:r>
      <w:r>
        <w:rPr>
          <w:rFonts w:ascii="Calibri" w:hAnsi="Calibri" w:cs="Calibri"/>
          <w:rtl w:val="true"/>
        </w:rPr>
        <w:t xml:space="preserve">ר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אך לא מצא לבטלה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ל </w:t>
      </w:r>
      <w:r>
        <w:rPr>
          <w:rFonts w:cs="Calibri" w:ascii="Calibri" w:hAnsi="Calibri"/>
        </w:rPr>
        <w:t>80,000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>בקשת רשות הערעור לבית המשפט העליון נדחתה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16811-10-16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מצלאוי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19.3.2017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בגין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 של אי הגשת דוחות למע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מ כשסכום המס בסך </w:t>
      </w:r>
      <w:r>
        <w:rPr>
          <w:rFonts w:cs="Calibri" w:ascii="Calibri" w:hAnsi="Calibri"/>
        </w:rPr>
        <w:t>1,366,671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 xml:space="preserve">ועבירות ניכויים בסך </w:t>
      </w:r>
      <w:r>
        <w:rPr>
          <w:rFonts w:cs="Calibri" w:ascii="Calibri" w:hAnsi="Calibri"/>
        </w:rPr>
        <w:t>166,242</w:t>
      </w:r>
      <w:r>
        <w:rPr>
          <w:rFonts w:cs="Calibri" w:ascii="Calibri" w:hAnsi="Calibri"/>
          <w:rtl w:val="true"/>
        </w:rPr>
        <w:t xml:space="preserve"> ₪ , </w:t>
      </w:r>
      <w:r>
        <w:rPr>
          <w:rFonts w:ascii="Calibri" w:hAnsi="Calibri" w:cs="Calibri"/>
          <w:rtl w:val="true"/>
        </w:rPr>
        <w:t>כשרק חלק מהמחדלים הוסרו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נגזרו על הנאשם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לריצוי בעבודות שירות לצד קנס בסך </w:t>
      </w:r>
      <w:r>
        <w:rPr>
          <w:rFonts w:cs="Calibri" w:ascii="Calibri" w:hAnsi="Calibri"/>
        </w:rPr>
        <w:t>120,000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וענישה נלוות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 הפגיעה 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המאסר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בגין האירוע הראשון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 האירוע 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מתחם עונש המאסר ההולם הוא בין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ועד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לחפוף בין המתחמים במידה מסוימת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 שאף באות כוח המאשימה סברו על פי טיעונן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מושפע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נתתי דעתי </w:t>
      </w:r>
      <w:r>
        <w:rPr>
          <w:rFonts w:ascii="Calibri" w:hAnsi="Calibri" w:cs="Calibri"/>
          <w:rtl w:val="true"/>
        </w:rPr>
        <w:t>למצבו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</w:t>
      </w:r>
      <w:r>
        <w:rPr>
          <w:rFonts w:ascii="Calibri" w:hAnsi="Calibri" w:cs="Calibri"/>
          <w:rtl w:val="true"/>
        </w:rPr>
        <w:t>ו וילדיו קטינים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 נתתי דעתי לטענת הנאשם שאין לו כל נכסים וכי השקיע את כל כספו בנאשמת אשר קרסה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ולכך ש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 עובד מאז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 אלה ובראי העבירות אשר בוצעו על ידי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השיטתיות והנזק הרב שנגרם מביצוען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מצאתי להעמיד את מתחם הקנס בגין האירוע הראשון בין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>–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80,000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ובגין האירוע השני בין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40,000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בהקשר זה מצאתי לחפוף במידה רבה בין המתחמים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-426"/>
        <w:jc w:val="both"/>
        <w:rPr>
          <w:rFonts w:ascii="Calibri" w:hAnsi="Calibri" w:cs="Calibri"/>
        </w:rPr>
      </w:pPr>
      <w:r>
        <w:rPr>
          <w:rFonts w:ascii="Calibri" w:hAnsi="Calibri" w:cs="Calibri"/>
          <w:bCs/>
          <w:u w:val="single"/>
          <w:rtl w:val="true"/>
          <w:lang w:eastAsia="he-IL"/>
        </w:rPr>
        <w:t>גזירת</w:t>
      </w:r>
      <w:r>
        <w:rPr>
          <w:rFonts w:ascii="Calibri" w:hAnsi="Calibri" w:cs="Calibri"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Cs/>
          <w:u w:val="single"/>
          <w:rtl w:val="true"/>
          <w:lang w:eastAsia="he-IL"/>
        </w:rPr>
        <w:t>העונש</w:t>
      </w:r>
      <w:r>
        <w:rPr>
          <w:rFonts w:ascii="Calibri" w:hAnsi="Calibri" w:cs="Calibri"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Cs/>
          <w:u w:val="single"/>
          <w:rtl w:val="true"/>
          <w:lang w:eastAsia="he-IL"/>
        </w:rPr>
        <w:t>המתאים</w:t>
      </w:r>
      <w:r>
        <w:rPr>
          <w:rFonts w:ascii="Calibri" w:hAnsi="Calibri" w:cs="Calibri"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ונסיבותיו האישיות המורכבות של 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1961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סובלת מדאבת שרירים ומתקשה לעבוד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 ומשפחתו חוו במהלך עשר השנים האחרונות  אובדן ממשי בדמות מותם של אביו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שתי אחיותיו ואחיינו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רובם ממחלת הסרטן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ואין להקל ראש בקושי להתמודד עם 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לבני משפחתו ולו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 המתוארות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אף לתת את הדעת  ל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הכלכלי והרגשי </w:t>
      </w:r>
      <w:r>
        <w:rPr>
          <w:rFonts w:ascii="Calibri" w:hAnsi="Calibri" w:cs="Calibri"/>
          <w:rtl w:val="true"/>
        </w:rPr>
        <w:t>למשפחתו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שקלתי את מצבו הרפואי של הנאשם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הגם שמהמסמכים הרפואיים שצורפו כנ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 מעידים על מצב רפואי קשה במיוחד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וכן את מצבו הנפשי הנטען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עליו אף העידו עדי ההגנה לעונש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 לקולא שקלתי את מידותיו הטובות של הנאשם ותרומתו לחברה עליהם העיד מר חנניה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שירותו הצבאי ועזרתו לנזקקים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שקלתי את הודייתו של הנאשם וחיסכון זמן שפוטי שבניהול הוכחות בעקבותיה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הגם שבתיק זה נערכו דיונים רבים ואף ניתנו דחיות רבות לנאשם לשם הסרת המחדלים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כן שקלתי לקולא את שיתוף הפעולה של הנאשם בחקירה בעת ביצועה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/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 לתת את הדעת לעברו הפלילי של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פי 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הורשע הנאשם בשנת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בביצוע עבירות על פי 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מס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הכנסה</w:t>
        </w:r>
      </w:hyperlink>
      <w:r>
        <w:rPr>
          <w:rFonts w:ascii="Calibri" w:hAnsi="Calibri" w:cs="Calibri"/>
          <w:rtl w:val="true"/>
        </w:rPr>
        <w:t xml:space="preserve"> בקשר לדוחות לשנים </w:t>
      </w:r>
      <w:r>
        <w:rPr>
          <w:rFonts w:cs="Calibri" w:ascii="Calibri" w:hAnsi="Calibri"/>
        </w:rPr>
        <w:t>1997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1998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2000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2001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מעיון בגזר הדין עולה כי הנאשם הואשם בביצוע עבירות לפי 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חלף סעיף </w:t>
      </w:r>
      <w:hyperlink r:id="rId47">
        <w:r>
          <w:rPr>
            <w:rStyle w:val="Hyperlink"/>
            <w:rFonts w:cs="Calibri" w:ascii="Calibri" w:hAnsi="Calibri"/>
            <w:color w:val="0000FF"/>
            <w:u w:val="single"/>
          </w:rPr>
          <w:t>220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מס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הכנסה</w:t>
        </w:r>
      </w:hyperlink>
      <w:r>
        <w:rPr>
          <w:rFonts w:ascii="Calibri" w:hAnsi="Calibri" w:cs="Calibri"/>
          <w:rtl w:val="true"/>
        </w:rPr>
        <w:t xml:space="preserve"> שכן התברר שלא קמה חבות במס באותן השנים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מבחינת הרלבנטיות לעניינו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הרי שניתן ללמוד כי הנאשם אשר הורשע בעבר בביצוע עבירות על פי 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מס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הכנסה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ודינו נגזר לעבודות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מאסר תנאי וקנס כספי בשנת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הורתע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 וביצע עבירות מס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גרימת נזק של ממש לקופה הציבורית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המפורט לעיל מביא למסקנה שיש מקום לענישה ממשית וקונקרטית בעניינו של הנאשם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 xml:space="preserve">אבהיר כי לא נעלמה משיקולי הפניית הסנגור לכך שהנאשם עסק מאז שנת </w:t>
      </w:r>
      <w:r>
        <w:rPr>
          <w:rFonts w:cs="Calibri" w:ascii="Calibri" w:hAnsi="Calibri"/>
        </w:rPr>
        <w:t>1987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בתחום כוח האדם ובנה עסק אשר העסיק </w:t>
      </w:r>
      <w:r>
        <w:rPr>
          <w:rFonts w:cs="Calibri" w:ascii="Calibri" w:hAnsi="Calibri"/>
        </w:rPr>
        <w:t>200-400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עובדים לאורך תקופת פעילותו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כשלמעט הרשעתו בשנת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הייתה לו כל בעיה מול רשות המסים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בהקשר זה אציין את טענת המאשימה לפיה הוטלו על הנאשמים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קנסות מנהליים בעבר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וגם אם לא אתן לכך משקל ממשי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 שלאור הרשעתו המפורטת בת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אינני מוצאת מקום ליתן משקל נכבד לקולא לנטען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/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לא תיקן חלק ממשי מהנזק הכספי האדיר שגרם במעשיו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 ניתן להתעלם מכך שכתוצאה מהעבירות אותן ביצעו הנאשמים נותר חסר של ממש בקופת המדינה בגין ביצוען של עבירות המע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לשיטת המאשימה בגובה של </w:t>
      </w:r>
      <w:r>
        <w:rPr>
          <w:rFonts w:cs="Calibri" w:ascii="Calibri" w:hAnsi="Calibri"/>
        </w:rPr>
        <w:t>4,144,000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ולשיטת הנאשם עצמו בסך </w:t>
      </w:r>
      <w:r>
        <w:rPr>
          <w:rFonts w:cs="Calibri" w:ascii="Calibri" w:hAnsi="Calibri"/>
        </w:rPr>
        <w:t>3,794,196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לצד זאת אף מחדל הנובע מביצוע עבירות הניכויים  על סך </w:t>
      </w:r>
      <w:r>
        <w:rPr>
          <w:rFonts w:cs="Calibri" w:ascii="Calibri" w:hAnsi="Calibri"/>
        </w:rPr>
        <w:t>119,652</w:t>
      </w:r>
      <w:r>
        <w:rPr>
          <w:rFonts w:cs="Calibri" w:ascii="Calibri" w:hAnsi="Calibri"/>
          <w:rtl w:val="true"/>
        </w:rPr>
        <w:t xml:space="preserve"> ₪ (</w:t>
      </w:r>
      <w:r>
        <w:rPr>
          <w:rFonts w:ascii="Calibri" w:hAnsi="Calibri" w:cs="Calibri"/>
          <w:rtl w:val="true"/>
        </w:rPr>
        <w:t>לדעת המאשימה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60,610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לדעת הסנגור קרן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 יכול להיות חולק כי המדובר בפגיעה חריגה ומשמעותית בקופת המדינה ובכך בכל אחד מאזרחיה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להסרת מחדלים בסוג זה של עבירות משמעות רבה לעניין הענישה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7851/13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3.9.2015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תכליות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סילוקו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המחדל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כרוך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בהשלמת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והטבת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שנגרם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מהעבירה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עידוד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חרטה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וקבלת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>".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/>
      </w:pPr>
      <w:r>
        <w:rPr>
          <w:rFonts w:ascii="Calibri" w:hAnsi="Calibri" w:cs="Calibri"/>
          <w:rtl w:val="true"/>
        </w:rPr>
        <w:t xml:space="preserve">נתתי דעתי למצבו הכלכלי של הנאשם אך </w:t>
      </w: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וביצוע עבירות </w:t>
      </w:r>
      <w:r>
        <w:rPr>
          <w:rFonts w:ascii="Calibri" w:hAnsi="Calibri" w:cs="Calibri"/>
          <w:rtl w:val="true"/>
        </w:rPr>
        <w:t>בסכומים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גבוהים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 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 שציין 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 ממחדלי כתב האישום הוסרו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 המדובר בעניין של מה בכך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חלק מהדוחות המפורטים בסעיף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 האישום אשר לא הוגשו ושולמו בעת הגשת כתב האישום המקורי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לתקופות  </w:t>
      </w:r>
      <w:r>
        <w:rPr>
          <w:rFonts w:cs="Calibri" w:ascii="Calibri" w:hAnsi="Calibri"/>
        </w:rPr>
        <w:t>6/15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7/15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8/15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 xml:space="preserve">בסך </w:t>
      </w:r>
      <w:r>
        <w:rPr>
          <w:rFonts w:cs="Calibri" w:ascii="Calibri" w:hAnsi="Calibri"/>
        </w:rPr>
        <w:t>1,488,410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הוגשו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אמנם באיחור ושולמו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הדוחות לתקופות </w:t>
      </w:r>
      <w:r>
        <w:rPr>
          <w:rFonts w:cs="Calibri" w:ascii="Calibri" w:hAnsi="Calibri"/>
        </w:rPr>
        <w:t>10/16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11/16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 לא נכללו בכתב האישום המקורי הוגשו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אם באיחור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ושולמו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בסך </w:t>
      </w:r>
      <w:r>
        <w:rPr>
          <w:rFonts w:cs="Calibri" w:ascii="Calibri" w:hAnsi="Calibri"/>
        </w:rPr>
        <w:t>614,250</w:t>
      </w:r>
      <w:r>
        <w:rPr>
          <w:rFonts w:cs="Calibri" w:ascii="Calibri" w:hAnsi="Calibri"/>
          <w:rtl w:val="true"/>
        </w:rPr>
        <w:t xml:space="preserve"> ₪). </w:t>
      </w:r>
      <w:r>
        <w:rPr>
          <w:rFonts w:ascii="Calibri" w:hAnsi="Calibri" w:cs="Calibri"/>
          <w:rtl w:val="true"/>
        </w:rPr>
        <w:t>כמו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שולם סכום נוסף על חשבון מחדל המע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 בסך של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1,300,000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לאור הגשת הדוחות השנתיים של הנאשמת לשנים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-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והחזרי המס 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אף קטן באופן משמעותי מחדל עבירות הניכויים ועומד כיום על סך </w:t>
      </w:r>
      <w:r>
        <w:rPr>
          <w:rFonts w:cs="Calibri" w:ascii="Calibri" w:hAnsi="Calibri"/>
        </w:rPr>
        <w:t>119,652</w:t>
      </w:r>
      <w:r>
        <w:rPr>
          <w:rFonts w:cs="Calibri" w:ascii="Calibri" w:hAnsi="Calibri"/>
          <w:rtl w:val="true"/>
        </w:rPr>
        <w:t xml:space="preserve"> ₪ (</w:t>
      </w:r>
      <w:r>
        <w:rPr>
          <w:rFonts w:ascii="Calibri" w:hAnsi="Calibri" w:cs="Calibri"/>
          <w:rtl w:val="true"/>
        </w:rPr>
        <w:t>לדעת המאשימה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60,610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לדעת הסנגור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ערה אני למאמצי הנאשם לפעול להסרת המחדלים והסרת המחדל החלקית על ידו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ואינני מקלה ראש כלל בהסדרים אליהם הגיע עם הרשות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התרשמתי מכנות מאמציו לפעול להסרת המחדלים לצד קשייו הכלכליים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ואלה נשקלים לקולא על ידי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rtl w:val="true"/>
        </w:rPr>
        <w:t xml:space="preserve">ראו בהקשר זה דברי בית המשפט המחוזי </w:t>
      </w:r>
      <w:r>
        <w:rPr>
          <w:rFonts w:ascii="Calibri" w:hAnsi="Calibri" w:cs="Calibri"/>
          <w:b/>
          <w:b/>
          <w:bCs/>
          <w:rtl w:val="true"/>
        </w:rPr>
        <w:t>בעניין כובאני ואלבחר</w:t>
      </w:r>
      <w:r>
        <w:rPr>
          <w:rFonts w:ascii="Calibri" w:hAnsi="Calibri" w:cs="Calibri"/>
          <w:rtl w:val="true"/>
        </w:rPr>
        <w:t xml:space="preserve"> בקשר למאמצים כנים להסרת מחדלים והתחשבות בית המשפט במאמצים אלה גם מקום בו לא הוסרו המחדלים במלואם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7.1.2019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להקטנת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מהקטנת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בעת מיקום הנאשם בגדרי 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נתתי דעתי גם לחשיבות האינטרס הציבורי כאשר עסקינן בעבירות מהסוג הנדון ובכורתו על פני נסיבות אישיות </w:t>
      </w:r>
      <w:r>
        <w:rPr>
          <w:rFonts w:cs="Calibri" w:ascii="Calibri" w:hAnsi="Calibri"/>
          <w:rtl w:val="true"/>
        </w:rPr>
        <w:t>(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3857/13</w:t>
        </w:r>
      </w:hyperlink>
      <w:r>
        <w:rPr>
          <w:color w:val="000000"/>
          <w:rtl w:val="true"/>
        </w:rPr>
        <w:t xml:space="preserve"> ‏</w:t>
      </w:r>
      <w:r>
        <w:rPr>
          <w:b/>
          <w:b/>
          <w:bCs/>
          <w:color w:val="000000"/>
          <w:rtl w:val="true"/>
        </w:rPr>
        <w:t>יצחקיאן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30.07.2013</w:t>
      </w:r>
      <w:r>
        <w:rPr>
          <w:color w:val="000000"/>
          <w:rtl w:val="true"/>
        </w:rPr>
        <w:t>)).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יקיריו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tl w:val="true"/>
        </w:rPr>
        <w:t xml:space="preserve">, </w:t>
      </w:r>
      <w:r>
        <w:rPr>
          <w:rtl w:val="true"/>
        </w:rPr>
        <w:t>בראי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145" w:end="0"/>
        <w:contextualSpacing/>
        <w:jc w:val="both"/>
        <w:rPr/>
      </w:pP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29/4/19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: </w:t>
      </w:r>
      <w:r>
        <w:rPr/>
        <w:t>08-987336/377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עבירות על פי 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</w:hyperlink>
      <w:r>
        <w:rPr>
          <w:rFonts w:ascii="Calibri" w:hAnsi="Calibri" w:cs="Calibri"/>
          <w:rtl w:val="true"/>
        </w:rPr>
        <w:t xml:space="preserve"> ו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מס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הכנסה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145" w:end="0"/>
        <w:contextualSpacing/>
        <w:jc w:val="both"/>
        <w:rPr>
          <w:rFonts w:ascii="Calibri" w:hAnsi="Calibri" w:cs="Calibri"/>
        </w:rPr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ורציפים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כשהראשון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1/9/20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14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הנאשם </w:t>
      </w:r>
      <w:r>
        <w:rPr>
          <w:rFonts w:ascii="Calibri" w:hAnsi="Calibri" w:cs="Calibri"/>
          <w:rtl w:val="true"/>
        </w:rPr>
        <w:t>יחתום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145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לנאשמת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 :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</w:tabs>
        <w:autoSpaceDE w:val="false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</w:tabs>
        <w:autoSpaceDE w:val="false"/>
        <w:spacing w:lineRule="auto" w:line="360" w:before="0" w:after="0"/>
        <w:ind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אביב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color w:val="FFFFFF"/>
          <w:sz w:val="2"/>
          <w:szCs w:val="2"/>
        </w:rPr>
        <w:t>51293715129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אמיר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59533-10-15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 </w:t>
    </w:r>
    <w:r>
      <w:rPr>
        <w:rFonts w:cs="David" w:ascii="David" w:hAnsi="David"/>
        <w:color w:val="000000"/>
        <w:sz w:val="22"/>
        <w:szCs w:val="22"/>
      </w:rPr>
      <w:t>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רן כח אדם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145" w:hanging="360"/>
      </w:pPr>
      <w:rPr>
        <w:rFonts w:cs="David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</w:abstractNum>
  <w:abstractNum w:abstractNumId="4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  <w:color w:val="000000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  <w:rFonts w:cs="David"/>
      </w:r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10"/>
        <w:i w:val="false"/>
        <w:shadow w:val="false"/>
        <w:u w:val="none" w:color="000000"/>
        <w:b w:val="false"/>
        <w:kern w:val="0"/>
        <w:szCs w:val="28"/>
        <w:iCs w:val="false"/>
        <w:bCs w:val="false"/>
        <w:w w:val="100"/>
        <w:vanish w:val="false"/>
        <w:rFonts w:ascii="Times New Roman" w:hAnsi="Times New Roman" w:cs="FrankRueh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Roman" w:hAnsi="Times New Roman" w:eastAsia="Times New Roman" w:cs="David"/>
      <w:b w:val="false"/>
      <w:bCs w:val="false"/>
      <w:sz w:val="24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Roman" w:hAnsi="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8"/>
      <w:sz w:val="28"/>
      <w:szCs w:val="28"/>
      <w:u w:val="none" w:color="000000"/>
      <w:vertAlign w:val="baseline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Calibri" w:hAnsi="Calibri" w:eastAsia="Times New Roman" w:cs="David"/>
      <w:b w:val="false"/>
      <w:bCs w:val="false"/>
      <w:sz w:val="24"/>
      <w:szCs w:val="24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  <w:b w:val="false"/>
      <w:u w:val="none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David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2z0">
    <w:name w:val="WW8Num12z0"/>
    <w:qFormat/>
    <w:rPr>
      <w:rFonts w:cs="Times New Roman"/>
      <w:b/>
      <w:bCs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David"/>
      <w:b w:val="false"/>
      <w:bCs w:val="false"/>
    </w:rPr>
  </w:style>
  <w:style w:type="character" w:styleId="WW8Num13z3">
    <w:name w:val="WW8Num13z3"/>
    <w:qFormat/>
    <w:rPr>
      <w:rFonts w:cs="Times New Roman"/>
    </w:rPr>
  </w:style>
  <w:style w:type="character" w:styleId="WW8Num14z0">
    <w:name w:val="WW8Num14z0"/>
    <w:qFormat/>
    <w:rPr>
      <w:rFonts w:ascii="Symbol" w:hAnsi="Symbol" w:cs="Symbol"/>
      <w:color w:val="00000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Times New Roman" w:hAnsi="Times New Roman" w:eastAsia="Times New Roman" w:cs="David"/>
      <w:b w:val="false"/>
      <w:bCs w:val="false"/>
      <w:sz w:val="24"/>
      <w:szCs w:val="24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6z1">
    <w:name w:val="WW8Num16z1"/>
    <w:qFormat/>
    <w:rPr>
      <w:rFonts w:cs="Times New Roman"/>
    </w:rPr>
  </w:style>
  <w:style w:type="character" w:styleId="WW8Num17z0">
    <w:name w:val="WW8Num17z0"/>
    <w:qFormat/>
    <w:rPr>
      <w:rFonts w:ascii="Times New Roman" w:hAnsi="Times New Roman" w:eastAsia="Times New Roman" w:cs="David"/>
      <w:sz w:val="24"/>
      <w:szCs w:val="24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ascii="Times New Roman" w:hAnsi="Times New Roman" w:eastAsia="Times New Roman" w:cs="David"/>
      <w:b w:val="false"/>
      <w:bCs w:val="false"/>
      <w:sz w:val="24"/>
      <w:szCs w:val="24"/>
    </w:rPr>
  </w:style>
  <w:style w:type="character" w:styleId="WW8Num18z1">
    <w:name w:val="WW8Num18z1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WW8Num20z0">
    <w:name w:val="WW8Num20z0"/>
    <w:qFormat/>
    <w:rPr>
      <w:rFonts w:cs="Times New Roman"/>
    </w:rPr>
  </w:style>
  <w:style w:type="character" w:styleId="WW8Num20z1">
    <w:name w:val="WW8Num20z1"/>
    <w:qFormat/>
    <w:rPr>
      <w:rFonts w:cs="Times New Roman"/>
    </w:rPr>
  </w:style>
  <w:style w:type="character" w:styleId="WW8Num21z0">
    <w:name w:val="WW8Num21z0"/>
    <w:qFormat/>
    <w:rPr>
      <w:rFonts w:ascii="Calibri" w:hAnsi="Calibri" w:eastAsia="Times New Roman" w:cs="David"/>
      <w:b w:val="false"/>
      <w:bCs w:val="false"/>
      <w:sz w:val="24"/>
      <w:szCs w:val="24"/>
    </w:rPr>
  </w:style>
  <w:style w:type="character" w:styleId="WW8Num21z1">
    <w:name w:val="WW8Num21z1"/>
    <w:qFormat/>
    <w:rPr>
      <w:rFonts w:cs="Times New Roman"/>
    </w:rPr>
  </w:style>
  <w:style w:type="character" w:styleId="WW8Num22z0">
    <w:name w:val="WW8Num22z0"/>
    <w:qFormat/>
    <w:rPr>
      <w:rFonts w:cs="David"/>
      <w:b w:val="false"/>
      <w:bCs w:val="false"/>
    </w:rPr>
  </w:style>
  <w:style w:type="character" w:styleId="WW8Num22z1">
    <w:name w:val="WW8Num22z1"/>
    <w:qFormat/>
    <w:rPr>
      <w:rFonts w:cs="Times New Roman"/>
    </w:rPr>
  </w:style>
  <w:style w:type="character" w:styleId="WW8Num23z0">
    <w:name w:val="WW8Num23z0"/>
    <w:qFormat/>
    <w:rPr>
      <w:rFonts w:cs="Times New Roman"/>
    </w:rPr>
  </w:style>
  <w:style w:type="character" w:styleId="WW8Num24z0">
    <w:name w:val="WW8Num24z0"/>
    <w:qFormat/>
    <w:rPr>
      <w:rFonts w:cs="Times New Roman"/>
    </w:rPr>
  </w:style>
  <w:style w:type="character" w:styleId="WW8Num24z1">
    <w:name w:val="WW8Num24z1"/>
    <w:qFormat/>
    <w:rPr>
      <w:rFonts w:cs="Times New Roman"/>
    </w:rPr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5z1">
    <w:name w:val="WW8Num25z1"/>
    <w:qFormat/>
    <w:rPr>
      <w:rFonts w:cs="Times New Roman"/>
    </w:rPr>
  </w:style>
  <w:style w:type="character" w:styleId="WW8Num26z0">
    <w:name w:val="WW8Num26z0"/>
    <w:qFormat/>
    <w:rPr>
      <w:rFonts w:ascii="Times New Roman" w:hAnsi="Times New Roman" w:eastAsia="Times New Roman" w:cs="David"/>
      <w:b w:val="false"/>
      <w:bCs w:val="false"/>
      <w:sz w:val="24"/>
      <w:szCs w:val="24"/>
    </w:rPr>
  </w:style>
  <w:style w:type="character" w:styleId="WW8Num26z1">
    <w:name w:val="WW8Num26z1"/>
    <w:qFormat/>
    <w:rPr>
      <w:rFonts w:cs="Times New Roman"/>
    </w:rPr>
  </w:style>
  <w:style w:type="character" w:styleId="WW8Num27z0">
    <w:name w:val="WW8Num27z0"/>
    <w:qFormat/>
    <w:rPr>
      <w:rFonts w:cs="David"/>
      <w:b w:val="false"/>
      <w:bCs w:val="false"/>
    </w:rPr>
  </w:style>
  <w:style w:type="character" w:styleId="WW8Num27z1">
    <w:name w:val="WW8Num27z1"/>
    <w:qFormat/>
    <w:rPr>
      <w:rFonts w:cs="Times New Roman"/>
    </w:rPr>
  </w:style>
  <w:style w:type="character" w:styleId="WW8Num28z0">
    <w:name w:val="WW8Num28z0"/>
    <w:qFormat/>
    <w:rPr/>
  </w:style>
  <w:style w:type="character" w:styleId="WW8Num29z0">
    <w:name w:val="WW8Num29z0"/>
    <w:qFormat/>
    <w:rPr>
      <w:rFonts w:cs="Times New Roman"/>
    </w:rPr>
  </w:style>
  <w:style w:type="character" w:styleId="WW8Num30z0">
    <w:name w:val="WW8Num30z0"/>
    <w:qFormat/>
    <w:rPr>
      <w:rFonts w:cs="Times New Roman"/>
      <w:b w:val="false"/>
      <w:bCs w:val="false"/>
    </w:rPr>
  </w:style>
  <w:style w:type="character" w:styleId="WW8Num30z1">
    <w:name w:val="WW8Num30z1"/>
    <w:qFormat/>
    <w:rPr>
      <w:rFonts w:cs="Times New Roman"/>
    </w:rPr>
  </w:style>
  <w:style w:type="character" w:styleId="WW8Num31z0">
    <w:name w:val="WW8Num31z0"/>
    <w:qFormat/>
    <w:rPr>
      <w:rFonts w:ascii="Times New Roman" w:hAnsi="Times New Roman" w:eastAsia="Times New Roman" w:cs="David"/>
      <w:b w:val="false"/>
      <w:bCs w:val="false"/>
      <w:sz w:val="24"/>
      <w:szCs w:val="24"/>
    </w:rPr>
  </w:style>
  <w:style w:type="character" w:styleId="WW8Num31z1">
    <w:name w:val="WW8Num31z1"/>
    <w:qFormat/>
    <w:rPr>
      <w:rFonts w:cs="Times New Roman"/>
    </w:rPr>
  </w:style>
  <w:style w:type="character" w:styleId="WW8Num32z0">
    <w:name w:val="WW8Num32z0"/>
    <w:qFormat/>
    <w:rPr>
      <w:rFonts w:cs="Times New Roman"/>
    </w:rPr>
  </w:style>
  <w:style w:type="character" w:styleId="WW8Num32z1">
    <w:name w:val="WW8Num32z1"/>
    <w:qFormat/>
    <w:rPr>
      <w:rFonts w:cs="Times New Roman"/>
    </w:rPr>
  </w:style>
  <w:style w:type="character" w:styleId="WW8Num33z0">
    <w:name w:val="WW8Num33z0"/>
    <w:qFormat/>
    <w:rPr>
      <w:rFonts w:cs="Times New Roman"/>
      <w:b w:val="false"/>
      <w:bCs w:val="false"/>
    </w:rPr>
  </w:style>
  <w:style w:type="character" w:styleId="WW8Num33z1">
    <w:name w:val="WW8Num33z1"/>
    <w:qFormat/>
    <w:rPr>
      <w:rFonts w:cs="Times New Roman"/>
    </w:rPr>
  </w:style>
  <w:style w:type="character" w:styleId="WW8Num34z0">
    <w:name w:val="WW8Num34z0"/>
    <w:qFormat/>
    <w:rPr>
      <w:rFonts w:cs="Times New Roman"/>
    </w:rPr>
  </w:style>
  <w:style w:type="character" w:styleId="WW8Num35z0">
    <w:name w:val="WW8Num35z0"/>
    <w:qFormat/>
    <w:rPr>
      <w:rFonts w:cs="David"/>
      <w:b w:val="false"/>
      <w:bCs w:val="false"/>
    </w:rPr>
  </w:style>
  <w:style w:type="character" w:styleId="WW8Num35z1">
    <w:name w:val="WW8Num35z1"/>
    <w:qFormat/>
    <w:rPr>
      <w:rFonts w:cs="Times New Roman"/>
    </w:rPr>
  </w:style>
  <w:style w:type="character" w:styleId="WW8Num36z0">
    <w:name w:val="WW8Num36z0"/>
    <w:qFormat/>
    <w:rPr>
      <w:rFonts w:cs="Times New Roman"/>
    </w:rPr>
  </w:style>
  <w:style w:type="character" w:styleId="WW8Num36z1">
    <w:name w:val="WW8Num36z1"/>
    <w:qFormat/>
    <w:rPr>
      <w:rFonts w:cs="Times New Roman"/>
    </w:rPr>
  </w:style>
  <w:style w:type="character" w:styleId="WW8Num37z0">
    <w:name w:val="WW8Num37z0"/>
    <w:qFormat/>
    <w:rPr>
      <w:rFonts w:cs="Times New Roman"/>
    </w:rPr>
  </w:style>
  <w:style w:type="character" w:styleId="WW8Num37z1">
    <w:name w:val="WW8Num37z1"/>
    <w:qFormat/>
    <w:rPr>
      <w:rFonts w:cs="Times New Roman"/>
    </w:rPr>
  </w:style>
  <w:style w:type="character" w:styleId="WW8Num38z0">
    <w:name w:val="WW8Num38z0"/>
    <w:qFormat/>
    <w:rPr>
      <w:rFonts w:cs="Times New Roman"/>
      <w:b w:val="false"/>
      <w:bCs w:val="false"/>
    </w:rPr>
  </w:style>
  <w:style w:type="character" w:styleId="WW8Num38z1">
    <w:name w:val="WW8Num38z1"/>
    <w:qFormat/>
    <w:rPr>
      <w:rFonts w:cs="Times New Roman"/>
    </w:rPr>
  </w:style>
  <w:style w:type="character" w:styleId="WW8Num39z0">
    <w:name w:val="WW8Num39z0"/>
    <w:qFormat/>
    <w:rPr>
      <w:rFonts w:ascii="Calibri" w:hAnsi="Calibri" w:cs="Times New Roman"/>
      <w:b/>
    </w:rPr>
  </w:style>
  <w:style w:type="character" w:styleId="WW8Num39z1">
    <w:name w:val="WW8Num39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Ruller4">
    <w:name w:val="Ruller 4 ממוספר תו"/>
    <w:qFormat/>
    <w:rPr>
      <w:rFonts w:ascii="Garamond" w:hAnsi="Garamond" w:cs="Garamond"/>
      <w:spacing w:val="10"/>
      <w:sz w:val="28"/>
    </w:rPr>
  </w:style>
  <w:style w:type="character" w:styleId="normal-h">
    <w:name w:val="normal-h"/>
    <w:qFormat/>
    <w:rPr/>
  </w:style>
  <w:style w:type="character" w:styleId="Hyperlink">
    <w:name w:val="Hyperlink"/>
    <w:rPr>
      <w:color w:val="0000FF"/>
      <w:u w:val="single"/>
    </w:rPr>
  </w:style>
  <w:style w:type="character" w:styleId="Ruller41">
    <w:name w:val="Ruller4 תו"/>
    <w:qFormat/>
    <w:rPr>
      <w:rFonts w:ascii="Arial TUR;Arial" w:hAnsi="Arial TUR;Arial" w:cs="Arial TUR;Arial"/>
      <w:spacing w:val="10"/>
      <w:sz w:val="28"/>
    </w:rPr>
  </w:style>
  <w:style w:type="character" w:styleId="apple-style-span">
    <w:name w:val="apple-style-span"/>
    <w:qFormat/>
    <w:rPr/>
  </w:style>
  <w:style w:type="character" w:styleId="BodyTextChar">
    <w:name w:val="Body Text Char"/>
    <w:qFormat/>
    <w:rPr>
      <w:rFonts w:ascii="Times New Roman" w:hAnsi="Times New Roman" w:eastAsia="Times New Roman" w:cs="Arial"/>
      <w:sz w:val="28"/>
      <w:szCs w:val="26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character" w:styleId="FollowedHyperlink">
    <w:name w:val="FollowedHyperlink"/>
    <w:rPr>
      <w:rFonts w:cs="Times New Roman"/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overflowPunct w:val="false"/>
      <w:autoSpaceDE w:val="false"/>
      <w:jc w:val="both"/>
    </w:pPr>
    <w:rPr>
      <w:rFonts w:cs="Arial"/>
      <w:sz w:val="28"/>
      <w:szCs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2">
    <w:name w:val="Ruller 4 ממוספר"/>
    <w:basedOn w:val="Normal"/>
    <w:next w:val="Normal"/>
    <w:qFormat/>
    <w:pPr>
      <w:numPr>
        <w:ilvl w:val="0"/>
        <w:numId w:val="6"/>
      </w:numPr>
      <w:overflowPunct w:val="false"/>
      <w:autoSpaceDE w:val="false"/>
      <w:spacing w:lineRule="auto" w:line="360"/>
      <w:jc w:val="both"/>
    </w:pPr>
    <w:rPr>
      <w:rFonts w:ascii="Garamond" w:hAnsi="Garamond" w:eastAsia="Calibri" w:cs="Arial"/>
      <w:spacing w:val="10"/>
      <w:sz w:val="28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1">
    <w:name w:val="פיסקת רשימה1"/>
    <w:basedOn w:val="Normal"/>
    <w:qFormat/>
    <w:pPr>
      <w:spacing w:before="0" w:after="0"/>
      <w:ind w:hanging="0" w:start="720" w:end="0"/>
      <w:contextualSpacing/>
    </w:pPr>
    <w:rPr>
      <w:rFonts w:ascii="Arial (W1);Arial" w:hAnsi="Arial (W1);Arial" w:cs="Arial (W1);Arial"/>
    </w:rPr>
  </w:style>
  <w:style w:type="paragraph" w:styleId="ruller38">
    <w:name w:val="ruller38"/>
    <w:basedOn w:val="Normal"/>
    <w:qFormat/>
    <w:pPr>
      <w:overflowPunct w:val="false"/>
      <w:autoSpaceDE w:val="false"/>
    </w:pPr>
    <w:rPr>
      <w:rFonts w:cs="Times New Roman"/>
      <w:sz w:val="22"/>
      <w:szCs w:val="22"/>
    </w:rPr>
  </w:style>
  <w:style w:type="paragraph" w:styleId="2">
    <w:name w:val="פיסקת רשימה2"/>
    <w:basedOn w:val="Normal"/>
    <w:qFormat/>
    <w:pPr>
      <w:spacing w:before="0" w:after="0"/>
      <w:ind w:hanging="0" w:start="720" w:end="0"/>
      <w:contextualSpacing/>
    </w:pPr>
    <w:rPr>
      <w:rFonts w:ascii="Arial (W1);Arial" w:hAnsi="Arial (W1);Arial" w:cs="Arial (W1);Arial"/>
    </w:rPr>
  </w:style>
  <w:style w:type="paragraph" w:styleId="Ruller43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Arial"/>
      <w:spacing w:val="10"/>
      <w:sz w:val="28"/>
      <w:szCs w:val="22"/>
    </w:rPr>
  </w:style>
  <w:style w:type="paragraph" w:styleId="3">
    <w:name w:val="פיסקת רשימה3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4">
    <w:name w:val="פיסקת רשימה4"/>
    <w:basedOn w:val="Normal"/>
    <w:qFormat/>
    <w:pPr>
      <w:spacing w:before="0" w:after="0"/>
      <w:ind w:hanging="0" w:start="720" w:end="0"/>
      <w:contextualSpacing/>
    </w:pPr>
    <w:rPr/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big-header">
    <w:name w:val="big-header"/>
    <w:basedOn w:val="Normal"/>
    <w:qFormat/>
    <w:pPr>
      <w:keepNext w:val="true"/>
      <w:keepLines/>
      <w:widowControl w:val="false"/>
      <w:suppressAutoHyphens w:val="true"/>
      <w:autoSpaceDE w:val="false"/>
      <w:spacing w:before="440" w:after="120"/>
      <w:ind w:hanging="0" w:start="2835" w:end="0"/>
      <w:jc w:val="center"/>
    </w:pPr>
    <w:rPr>
      <w:rFonts w:cs="Times New Roman"/>
      <w:sz w:val="20"/>
      <w:szCs w:val="32"/>
      <w:lang w:val="en-IL" w:eastAsia="en-IL"/>
    </w:rPr>
  </w:style>
  <w:style w:type="paragraph" w:styleId="5">
    <w:name w:val="פיסקת רשימה5"/>
    <w:basedOn w:val="Normal"/>
    <w:qFormat/>
    <w:pPr>
      <w:spacing w:before="0" w:after="0"/>
      <w:ind w:hanging="0" w:start="720" w:end="0"/>
      <w:contextualSpacing/>
    </w:pPr>
    <w:rPr>
      <w:rFonts w:ascii="Arial (W1);Arial" w:hAnsi="Arial (W1);Arial" w:cs="Times New Roman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837" TargetMode="External"/><Relationship Id="rId3" Type="http://schemas.openxmlformats.org/officeDocument/2006/relationships/hyperlink" Target="http://www.nevo.co.il/safrut/bookgroup/837" TargetMode="External"/><Relationship Id="rId4" Type="http://schemas.openxmlformats.org/officeDocument/2006/relationships/hyperlink" Target="http://www.nevo.co.il/law/72813" TargetMode="External"/><Relationship Id="rId5" Type="http://schemas.openxmlformats.org/officeDocument/2006/relationships/hyperlink" Target="http://www.nevo.co.il/law/72813/117.a.6" TargetMode="External"/><Relationship Id="rId6" Type="http://schemas.openxmlformats.org/officeDocument/2006/relationships/hyperlink" Target="http://www.nevo.co.il/law/72813/118" TargetMode="External"/><Relationship Id="rId7" Type="http://schemas.openxmlformats.org/officeDocument/2006/relationships/hyperlink" Target="http://www.nevo.co.il/law/84255" TargetMode="External"/><Relationship Id="rId8" Type="http://schemas.openxmlformats.org/officeDocument/2006/relationships/hyperlink" Target="http://www.nevo.co.il/law/84255/216" TargetMode="External"/><Relationship Id="rId9" Type="http://schemas.openxmlformats.org/officeDocument/2006/relationships/hyperlink" Target="http://www.nevo.co.il/law/84255/217" TargetMode="External"/><Relationship Id="rId10" Type="http://schemas.openxmlformats.org/officeDocument/2006/relationships/hyperlink" Target="http://www.nevo.co.il/law/84255/219" TargetMode="External"/><Relationship Id="rId11" Type="http://schemas.openxmlformats.org/officeDocument/2006/relationships/hyperlink" Target="http://www.nevo.co.il/law/84255/220" TargetMode="External"/><Relationship Id="rId12" Type="http://schemas.openxmlformats.org/officeDocument/2006/relationships/hyperlink" Target="http://www.nevo.co.il/law/72813/117.a.6" TargetMode="External"/><Relationship Id="rId13" Type="http://schemas.openxmlformats.org/officeDocument/2006/relationships/hyperlink" Target="http://www.nevo.co.il/law/72813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law/72813/118" TargetMode="External"/><Relationship Id="rId16" Type="http://schemas.openxmlformats.org/officeDocument/2006/relationships/hyperlink" Target="http://www.nevo.co.il/law/84255/219" TargetMode="External"/><Relationship Id="rId17" Type="http://schemas.openxmlformats.org/officeDocument/2006/relationships/hyperlink" Target="http://www.nevo.co.il/law/84255" TargetMode="External"/><Relationship Id="rId18" Type="http://schemas.openxmlformats.org/officeDocument/2006/relationships/hyperlink" Target="http://www.nevo.co.il/safrut/bookgroup/837" TargetMode="External"/><Relationship Id="rId19" Type="http://schemas.openxmlformats.org/officeDocument/2006/relationships/hyperlink" Target="http://www.nevo.co.il/law/84255/217" TargetMode="External"/><Relationship Id="rId20" Type="http://schemas.openxmlformats.org/officeDocument/2006/relationships/hyperlink" Target="http://www.nevo.co.il/law/84255" TargetMode="External"/><Relationship Id="rId21" Type="http://schemas.openxmlformats.org/officeDocument/2006/relationships/hyperlink" Target="http://www.nevo.co.il/law/72813" TargetMode="External"/><Relationship Id="rId22" Type="http://schemas.openxmlformats.org/officeDocument/2006/relationships/hyperlink" Target="http://www.nevo.co.il/law/84255" TargetMode="External"/><Relationship Id="rId23" Type="http://schemas.openxmlformats.org/officeDocument/2006/relationships/hyperlink" Target="http://www.nevo.co.il/case/5979766" TargetMode="External"/><Relationship Id="rId24" Type="http://schemas.openxmlformats.org/officeDocument/2006/relationships/hyperlink" Target="http://www.nevo.co.il/case/8437828" TargetMode="External"/><Relationship Id="rId25" Type="http://schemas.openxmlformats.org/officeDocument/2006/relationships/hyperlink" Target="http://www.nevo.co.il/case/22649064" TargetMode="External"/><Relationship Id="rId26" Type="http://schemas.openxmlformats.org/officeDocument/2006/relationships/hyperlink" Target="http://www.nevo.co.il/case/22711501" TargetMode="External"/><Relationship Id="rId27" Type="http://schemas.openxmlformats.org/officeDocument/2006/relationships/hyperlink" Target="http://www.nevo.co.il/case/13055117" TargetMode="External"/><Relationship Id="rId28" Type="http://schemas.openxmlformats.org/officeDocument/2006/relationships/hyperlink" Target="http://www.nevo.co.il/case/21474168" TargetMode="External"/><Relationship Id="rId29" Type="http://schemas.openxmlformats.org/officeDocument/2006/relationships/hyperlink" Target="http://www.nevo.co.il/case/20172118" TargetMode="External"/><Relationship Id="rId30" Type="http://schemas.openxmlformats.org/officeDocument/2006/relationships/hyperlink" Target="http://www.nevo.co.il/case/21479956" TargetMode="External"/><Relationship Id="rId31" Type="http://schemas.openxmlformats.org/officeDocument/2006/relationships/hyperlink" Target="http://www.nevo.co.il/case/20356757" TargetMode="External"/><Relationship Id="rId32" Type="http://schemas.openxmlformats.org/officeDocument/2006/relationships/hyperlink" Target="http://www.nevo.co.il/law/72813/117.a.6" TargetMode="External"/><Relationship Id="rId33" Type="http://schemas.openxmlformats.org/officeDocument/2006/relationships/hyperlink" Target="http://www.nevo.co.il/case/6181500" TargetMode="External"/><Relationship Id="rId34" Type="http://schemas.openxmlformats.org/officeDocument/2006/relationships/hyperlink" Target="http://www.nevo.co.il/case/6041465" TargetMode="External"/><Relationship Id="rId35" Type="http://schemas.openxmlformats.org/officeDocument/2006/relationships/hyperlink" Target="http://www.nevo.co.il/case/5592483" TargetMode="External"/><Relationship Id="rId36" Type="http://schemas.openxmlformats.org/officeDocument/2006/relationships/hyperlink" Target="http://www.nevo.co.il/law/72813/117.a.6" TargetMode="External"/><Relationship Id="rId37" Type="http://schemas.openxmlformats.org/officeDocument/2006/relationships/hyperlink" Target="http://www.nevo.co.il/case/5568778" TargetMode="External"/><Relationship Id="rId38" Type="http://schemas.openxmlformats.org/officeDocument/2006/relationships/hyperlink" Target="http://www.nevo.co.il/law/72813/117.a.6" TargetMode="External"/><Relationship Id="rId39" Type="http://schemas.openxmlformats.org/officeDocument/2006/relationships/hyperlink" Target="http://www.nevo.co.il/law/84255/216" TargetMode="External"/><Relationship Id="rId40" Type="http://schemas.openxmlformats.org/officeDocument/2006/relationships/hyperlink" Target="http://www.nevo.co.il/law/84255" TargetMode="External"/><Relationship Id="rId41" Type="http://schemas.openxmlformats.org/officeDocument/2006/relationships/hyperlink" Target="http://www.nevo.co.il/case/20493123" TargetMode="External"/><Relationship Id="rId42" Type="http://schemas.openxmlformats.org/officeDocument/2006/relationships/hyperlink" Target="http://www.nevo.co.il/case/5776883" TargetMode="External"/><Relationship Id="rId43" Type="http://schemas.openxmlformats.org/officeDocument/2006/relationships/hyperlink" Target="http://www.nevo.co.il/case/21528310" TargetMode="External"/><Relationship Id="rId44" Type="http://schemas.openxmlformats.org/officeDocument/2006/relationships/hyperlink" Target="http://www.nevo.co.il/law/84255/217" TargetMode="External"/><Relationship Id="rId45" Type="http://schemas.openxmlformats.org/officeDocument/2006/relationships/hyperlink" Target="http://www.nevo.co.il/law/84255" TargetMode="External"/><Relationship Id="rId46" Type="http://schemas.openxmlformats.org/officeDocument/2006/relationships/hyperlink" Target="http://www.nevo.co.il/law/84255/217" TargetMode="External"/><Relationship Id="rId47" Type="http://schemas.openxmlformats.org/officeDocument/2006/relationships/hyperlink" Target="http://www.nevo.co.il/law/84255/220" TargetMode="External"/><Relationship Id="rId48" Type="http://schemas.openxmlformats.org/officeDocument/2006/relationships/hyperlink" Target="http://www.nevo.co.il/law/84255" TargetMode="External"/><Relationship Id="rId49" Type="http://schemas.openxmlformats.org/officeDocument/2006/relationships/hyperlink" Target="http://www.nevo.co.il/law/84255" TargetMode="External"/><Relationship Id="rId50" Type="http://schemas.openxmlformats.org/officeDocument/2006/relationships/hyperlink" Target="http://www.nevo.co.il/case/10486210" TargetMode="External"/><Relationship Id="rId51" Type="http://schemas.openxmlformats.org/officeDocument/2006/relationships/hyperlink" Target="http://www.nevo.co.il/case/7030434" TargetMode="External"/><Relationship Id="rId52" Type="http://schemas.openxmlformats.org/officeDocument/2006/relationships/hyperlink" Target="http://www.nevo.co.il/law/72813" TargetMode="External"/><Relationship Id="rId53" Type="http://schemas.openxmlformats.org/officeDocument/2006/relationships/hyperlink" Target="http://www.nevo.co.il/law/84255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2019-04-21T11:12:00Z</dcterms:created>
  <dc:creator> </dc:creator>
  <dc:description/>
  <cp:keywords/>
  <dc:language>en-IL</dc:language>
  <cp:lastModifiedBy>h6</cp:lastModifiedBy>
  <dcterms:modified xsi:type="dcterms:W3CDTF">2019-04-21T11:12:00Z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מע#מ ת#א 3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מי-רן כח אדם בע#מ;ציון עזרא צדוק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837</vt:lpwstr>
  </property>
  <property fmtid="{D5CDD505-2E9C-101B-9397-08002B2CF9AE}" pid="9" name="CASENOTES1">
    <vt:lpwstr>ProcID=174;133;209&amp;PartA=97&amp;PartC=26</vt:lpwstr>
  </property>
  <property fmtid="{D5CDD505-2E9C-101B-9397-08002B2CF9AE}" pid="10" name="CASENOTES2">
    <vt:lpwstr>ProcID=213&amp;PartA=10&amp;PartC=16</vt:lpwstr>
  </property>
  <property fmtid="{D5CDD505-2E9C-101B-9397-08002B2CF9AE}" pid="11" name="CASESLISTTMP1">
    <vt:lpwstr>5979766;8437828;22649064;22711501;13055117;21474168;20172118;21479956;20356757;6181500;6041465;5592483;5568778;20493123;5776883;21528310;10486210;7030434</vt:lpwstr>
  </property>
  <property fmtid="{D5CDD505-2E9C-101B-9397-08002B2CF9AE}" pid="12" name="CITY">
    <vt:lpwstr>ת"א</vt:lpwstr>
  </property>
  <property fmtid="{D5CDD505-2E9C-101B-9397-08002B2CF9AE}" pid="13" name="DATE">
    <vt:lpwstr>20190408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דנה אמיר</vt:lpwstr>
  </property>
  <property fmtid="{D5CDD505-2E9C-101B-9397-08002B2CF9AE}" pid="17" name="LAWLISTTMP1">
    <vt:lpwstr>72813/117.a.6:4;118</vt:lpwstr>
  </property>
  <property fmtid="{D5CDD505-2E9C-101B-9397-08002B2CF9AE}" pid="18" name="LAWLISTTMP2">
    <vt:lpwstr>84255/219;217:3;216;220</vt:lpwstr>
  </property>
  <property fmtid="{D5CDD505-2E9C-101B-9397-08002B2CF9AE}" pid="19" name="LAWYER">
    <vt:lpwstr>לנא אבו עיסה;תהילה מורן חגי;שרית דהן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59533</vt:lpwstr>
  </property>
  <property fmtid="{D5CDD505-2E9C-101B-9397-08002B2CF9AE}" pid="26" name="NEWPARTB">
    <vt:lpwstr>10</vt:lpwstr>
  </property>
  <property fmtid="{D5CDD505-2E9C-101B-9397-08002B2CF9AE}" pid="27" name="NEWPARTC">
    <vt:lpwstr>15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3</vt:lpwstr>
  </property>
  <property fmtid="{D5CDD505-2E9C-101B-9397-08002B2CF9AE}" pid="37" name="TYPE_ABS_DATE">
    <vt:lpwstr>380020190408</vt:lpwstr>
  </property>
  <property fmtid="{D5CDD505-2E9C-101B-9397-08002B2CF9AE}" pid="38" name="TYPE_N_DATE">
    <vt:lpwstr>38020190408</vt:lpwstr>
  </property>
  <property fmtid="{D5CDD505-2E9C-101B-9397-08002B2CF9AE}" pid="39" name="VOLUME">
    <vt:lpwstr/>
  </property>
  <property fmtid="{D5CDD505-2E9C-101B-9397-08002B2CF9AE}" pid="40" name="WORDNUMPAGES">
    <vt:lpwstr>12</vt:lpwstr>
  </property>
</Properties>
</file>