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59812-02-16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בוזגלו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אור בוזגלו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מת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אסעד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א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ראשון</w:t>
      </w:r>
      <w:r>
        <w:rPr>
          <w:rFonts w:cs="David" w:ascii="David" w:hAnsi="David"/>
          <w:color w:val="000000"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סחר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בנשק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שני</w:t>
      </w:r>
      <w:r>
        <w:rPr>
          <w:rFonts w:cs="David" w:ascii="David" w:hAnsi="David"/>
          <w:color w:val="000000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מסירת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ידיעה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כוזבת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243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שיבוש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הליכי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משפט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244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לפברואר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יסודי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לחזקתה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תארוס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:"</w:t>
      </w:r>
      <w:r>
        <w:rPr>
          <w:rFonts w:ascii="David" w:hAnsi="David"/>
          <w:b/>
          <w:b/>
          <w:bCs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אוגוסט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לפברואר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ממחמוד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צאלוק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:"</w:t>
      </w:r>
      <w:r>
        <w:rPr>
          <w:rFonts w:ascii="David" w:hAnsi="David"/>
          <w:b/>
          <w:b/>
          <w:bCs/>
          <w:color w:val="000000"/>
          <w:rtl w:val="true"/>
        </w:rPr>
        <w:t>מחמוד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מההזדמנויות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סירבה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15.2.16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לאחר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שאזלו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והחלה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לחוש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תסמיני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גמילה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מטרה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להשיג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סכום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כסף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לרכישת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נוספות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גמלה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בליבה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החלטה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למכור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שברשותה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למחמוד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לצורך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כך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פנתה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למחמוד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והציעה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לרכוש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האקדח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המחסניות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והכדורים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תמורת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10,000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השניים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סיכמו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ביניהם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תמכור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למחמוד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תמורת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סכום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8,000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כמות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הרואין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נפגשו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השניים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למקום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מגוריו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מחמוד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האקדח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המחסנית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והכדורים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ובתמורה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8,000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במזומן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ארבע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חבילות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הרואין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לצריכתה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העצמית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החליטה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לרקום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סיפור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בדים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נפלה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קורבן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לאירוע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במהלכו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נגנב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האקדח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18.2.16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פנתה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למעבידה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יהושע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ודיווחה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אירוע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השוד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בתגובה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למשטרה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באופן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ושוטרים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רבים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בסריקות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ובגביית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הודעות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מעדים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שונים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במטרה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לאתר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מבצע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השוד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באותו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לתחנת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המשטרה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ומסרה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חוקר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הודעה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פירטה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אירוע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השוד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נחקרה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נוספת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מספר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מכן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במהלך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עדותה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הודתה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בדתה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מליבה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אירוע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וטענה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בכזב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מעונש</w:t>
      </w:r>
      <w:r>
        <w:rPr>
          <w:rFonts w:cs="David" w:ascii="David" w:hAnsi="David"/>
          <w:color w:val="000000"/>
          <w:rtl w:val="true"/>
        </w:rPr>
        <w:t xml:space="preserve">.   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בטיעוניה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27.9.17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במרכול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בצעירותה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מיוחדים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ולבסס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האבטחה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במשפחת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במפתיע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כשלושים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וחריגות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התנסתה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קנאביס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אקסטזי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לסירוגין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שקדמו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למצוקתה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וללחצים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ולסחרור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נקלעה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קהילה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אריאלה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בחיפה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התקבלו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דיווחים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כמיטב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התעוררו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למסוגלותה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קוגניטיבית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התקדמה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כמיטב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ותסכול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מתמשכים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ולהגבלות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ובתום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בהתמכרויות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ממידע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מקפידה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ניקיונה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ונתרמת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בהתייחסה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ההתמכרותי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להתרופפות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ויכולותיה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באימפולסיביות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סיפוק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ומניפולציה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בפתרון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התייחסה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וביקורתי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הדגישה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ניקיונה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התקשתה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ונחיתות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להתרועע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ובהימורים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מרגשות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ומטלטל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והימורים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פברואר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והפחתת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רותי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ראובני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המורחבת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לבטיחות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קיבלו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ובכעס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החליטו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ומאמינים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באבטחה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מכריה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ולהשתקם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ומאמינה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נגמלה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מהימורים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מאמינה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שואלת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ומתייעצת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מופתע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התבררו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מדברת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מספרת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מתחרטת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. 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פאדי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אסעד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וכשאזל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לרכישת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להופיע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היססה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באזרחים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מתעצמת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שהופקדה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שנשלחים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כוזבת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מרצונה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בזבוז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חקירה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הוזנקו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משטרה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עתירת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מצטברים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וחיסכון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     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המובילות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המהותי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לייעוץ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השתמשה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שהצליחה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נחשפה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להשפעתו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מחנק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שמחשבותיה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התערפלו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ממוקדת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ההודעה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הכוזבת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ספונטנית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מהתסמינים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שנטלה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ששדדו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בקהילה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קוגניטיביים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שלאחריה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העוטפת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והאתגר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שנכפה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להוסטל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מסייעת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אוניברסיטה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ונמנעת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מהימורים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לחלוטין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לרחוב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התמכרה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הסתירה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שטעתה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שצריך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ניקיון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נפרד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כעבריין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טומנת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319/11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יאסין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5.12.11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1768/14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גנאיים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22.7.14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7317/13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19.5.14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8280/15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גולאני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cs="David" w:ascii="David" w:hAnsi="David"/>
          <w:color w:val="000000"/>
          <w:rtl w:val="true"/>
        </w:rPr>
        <w:t>, (</w:t>
      </w:r>
      <w:r>
        <w:rPr>
          <w:rFonts w:cs="David" w:ascii="David" w:hAnsi="David"/>
          <w:color w:val="000000"/>
        </w:rPr>
        <w:t>28.3.16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בסל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מורגשת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הדרגתית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המושתים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ידיעה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כוזבת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חקירה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אכיפת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הופקדו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מיחסי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ונמצאת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להבחנה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פסקה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61.9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ומטעני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7.8.16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נשדדה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ואקדחה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הוזנקו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סריקות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ולגבות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לכאורה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נמלכה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ברימון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₪,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גוסטב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7552/14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23.6.15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bookmarkStart w:id="9" w:name="Text1"/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‏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bookmarkEnd w:id="9"/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1300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12.03.14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קרקי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15.6.14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18-36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36381-05-15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31.12.15</w:t>
      </w:r>
      <w:r>
        <w:rPr>
          <w:rtl w:val="true"/>
        </w:rPr>
        <w:t xml:space="preserve">),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54615-03-16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14.3.17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7108-02-16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20.7.16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ניסיונותיה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ההתמכרויות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15.2.16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שאזלו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והציעה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למשטרה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בסריקות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ובגביית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להיעלמות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והמחסנית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החליטה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סיפור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כוזב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ותחמושת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ולביטחונו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לפעילות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לקיפוח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יתגלגל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הרסניות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יובילו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עודנו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מסתובב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ברחוב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ומהווה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לבזבוז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משאבי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האכיפה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תלונת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סריקות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וחיפושים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השודד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ומשאבים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אכיפת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משופעים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להקצותם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אמיתיים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דורשים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אכיפת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6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תסמיני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גמילה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>.</w:t>
      </w:r>
      <w:r>
        <w:rPr>
          <w:b/>
          <w:bCs/>
          <w:color w:val="000000"/>
          <w:rtl w:val="true"/>
        </w:rPr>
        <w:t xml:space="preserve">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36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סוגיית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הסטייה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מן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המתחם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שיקום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1968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נעדרת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בילדותה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השווים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קנאביס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אקסטזי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לסירוגין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במוסדות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כבדים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קהילה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אריאלה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בחיפה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13.4.16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21.1.17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מדיווחי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כמיטב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התעוררו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למסוגלותה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הקוגניטיבית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התקדמה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כמיטב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בהוסטל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9.2.17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בהתמכרויות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בהתמכרויות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שבועית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אקראיות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N.A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מוקדי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ניקיונה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ליווי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ממידע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מקפידה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ניקיונה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בהשתתפות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בהדרכה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מעדויות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המורחבת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ועידוד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ומטלטל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אורכו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והשקיעה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ובבניית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והימורים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ולבכר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וההרתעה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לחלוטין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ובאילו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אורן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cs="David" w:ascii="David" w:hAnsi="David"/>
          <w:color w:val="000000"/>
        </w:rPr>
        <w:t>539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547-548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ספר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דורית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ביניש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עורכים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אזולאי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אהרן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ליפשיץ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קובע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רשאי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 xml:space="preserve">'?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בהחליטו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לדעתי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[...]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צפוי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החידושים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הבולטים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תום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4876/15</w:t>
        </w:r>
      </w:hyperlink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3.12.15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4795/11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זאיד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27.6.11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5354/12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12.7.12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נופלות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779/15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12.4.15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סכין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4.11.14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התעללות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ישע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27277-01-15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קעדאן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16.9.15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33495-12-13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דדשב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7498-11-14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אלצראיעה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8833-01-14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אפלצ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22.12.16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8761-01-14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פוגרבניאק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26.4.17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23513-03-14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ינוב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10.11.16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Calibri" w:hAnsi="Calibri" w:cs="Calibri"/>
          <w:color w:val="000000"/>
          <w:rtl w:val="true"/>
        </w:rPr>
        <w:t>בהקשר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זה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סבורני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ראוי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להפנות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ולהפנות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פזיזות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ורשלנות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מקל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התערבות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ולמשיב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קמא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שלפניי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והסתפקות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ולמצער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ובוודאי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תשתקם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לטמיון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הצלחת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מלכתחילה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ניתנה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להיגמל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היטב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שהתעוררו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בקהילה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למסוגלותה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קוגניטיבית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הקהילה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המשיכה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בהתמכרויות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ניקיון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הייחודיות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לרצותו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הנשיא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שפירא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36573-01-18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מחאמיד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7.2.18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שבפנינו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חיזוק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דורנר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שאומצו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היועץ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לממשלה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לנספח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למכתבו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31.1.18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1892/14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בנושא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צפיפות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cs="David" w:ascii="David" w:hAnsi="David"/>
          <w:color w:val="000000"/>
          <w:rtl w:val="true"/>
        </w:rPr>
        <w:t xml:space="preserve">)".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18.2.16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13.4.16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תנוכה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מגבילים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לנאשמת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1968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נעדרת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ותובנה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ולקחה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נגמלה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ומהימורים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ממשיכה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המורחבת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ומגדלת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זוגתה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הקטינים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להוריד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לטמיון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ולהתמכרותה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המתמשכת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ותקין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כאיזון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להחמיר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ומתריע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22.4.18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1.7.18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כנדרש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להפקיעו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ולממונה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עבודות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השירות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59812-02-16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 בוזגלו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>
      <w:rFonts w:cs="David"/>
      <w:b w:val="false"/>
      <w:bCs w:val="false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243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43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43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case/5699080" TargetMode="External"/><Relationship Id="rId21" Type="http://schemas.openxmlformats.org/officeDocument/2006/relationships/hyperlink" Target="http://www.nevo.co.il/case/13023134" TargetMode="External"/><Relationship Id="rId22" Type="http://schemas.openxmlformats.org/officeDocument/2006/relationships/hyperlink" Target="http://www.nevo.co.il/case/8471804" TargetMode="External"/><Relationship Id="rId23" Type="http://schemas.openxmlformats.org/officeDocument/2006/relationships/hyperlink" Target="http://www.nevo.co.il/case/20775010" TargetMode="External"/><Relationship Id="rId24" Type="http://schemas.openxmlformats.org/officeDocument/2006/relationships/hyperlink" Target="http://www.nevo.co.il/case/22006503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13090914" TargetMode="External"/><Relationship Id="rId27" Type="http://schemas.openxmlformats.org/officeDocument/2006/relationships/hyperlink" Target="http://www.nevo.co.il/case/18653720" TargetMode="External"/><Relationship Id="rId28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11269745" TargetMode="External"/><Relationship Id="rId30" Type="http://schemas.openxmlformats.org/officeDocument/2006/relationships/hyperlink" Target="http://www.nevo.co.il/case/7779337" TargetMode="External"/><Relationship Id="rId31" Type="http://schemas.openxmlformats.org/officeDocument/2006/relationships/hyperlink" Target="http://www.nevo.co.il/case/20296345" TargetMode="External"/><Relationship Id="rId32" Type="http://schemas.openxmlformats.org/officeDocument/2006/relationships/hyperlink" Target="http://www.nevo.co.il/case/21055966" TargetMode="External"/><Relationship Id="rId33" Type="http://schemas.openxmlformats.org/officeDocument/2006/relationships/hyperlink" Target="http://www.nevo.co.il/case/20932472" TargetMode="External"/><Relationship Id="rId34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case/20513526" TargetMode="External"/><Relationship Id="rId37" Type="http://schemas.openxmlformats.org/officeDocument/2006/relationships/hyperlink" Target="http://www.nevo.co.il/case/5977308" TargetMode="External"/><Relationship Id="rId38" Type="http://schemas.openxmlformats.org/officeDocument/2006/relationships/hyperlink" Target="http://www.nevo.co.il/case/11269647" TargetMode="External"/><Relationship Id="rId39" Type="http://schemas.openxmlformats.org/officeDocument/2006/relationships/hyperlink" Target="http://www.nevo.co.il/case/5590169" TargetMode="External"/><Relationship Id="rId40" Type="http://schemas.openxmlformats.org/officeDocument/2006/relationships/hyperlink" Target="http://www.nevo.co.il/case/20009419" TargetMode="External"/><Relationship Id="rId41" Type="http://schemas.openxmlformats.org/officeDocument/2006/relationships/hyperlink" Target="http://www.nevo.co.il/case/11302798" TargetMode="External"/><Relationship Id="rId42" Type="http://schemas.openxmlformats.org/officeDocument/2006/relationships/hyperlink" Target="http://www.nevo.co.il/case/18814996" TargetMode="External"/><Relationship Id="rId43" Type="http://schemas.openxmlformats.org/officeDocument/2006/relationships/hyperlink" Target="http://www.nevo.co.il/case/10529104" TargetMode="External"/><Relationship Id="rId44" Type="http://schemas.openxmlformats.org/officeDocument/2006/relationships/hyperlink" Target="http://www.nevo.co.il/case/18128667" TargetMode="External"/><Relationship Id="rId45" Type="http://schemas.openxmlformats.org/officeDocument/2006/relationships/hyperlink" Target="http://www.nevo.co.il/case/11222977" TargetMode="External"/><Relationship Id="rId46" Type="http://schemas.openxmlformats.org/officeDocument/2006/relationships/hyperlink" Target="http://www.nevo.co.il/case/11222898" TargetMode="External"/><Relationship Id="rId47" Type="http://schemas.openxmlformats.org/officeDocument/2006/relationships/hyperlink" Target="http://www.nevo.co.il/case/13049009" TargetMode="External"/><Relationship Id="rId48" Type="http://schemas.openxmlformats.org/officeDocument/2006/relationships/hyperlink" Target="http://www.nevo.co.il/case/7791493" TargetMode="External"/><Relationship Id="rId49" Type="http://schemas.openxmlformats.org/officeDocument/2006/relationships/hyperlink" Target="http://www.nevo.co.il/case/23553050" TargetMode="External"/><Relationship Id="rId50" Type="http://schemas.openxmlformats.org/officeDocument/2006/relationships/hyperlink" Target="http://www.nevo.co.il/law/70301/40ja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2018-09-26T07:50:00Z</dcterms:created>
  <dc:creator> </dc:creator>
  <dc:description/>
  <cp:keywords/>
  <dc:language>en-IL</dc:language>
  <cp:lastModifiedBy>run</cp:lastModifiedBy>
  <dcterms:modified xsi:type="dcterms:W3CDTF">2018-09-26T07:50:00Z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 בוזגלו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5699080;13023134;8471804;20775010;22006503;7791493:2;13090914;18653720;6473037;11269745;7779337;20296345;21055966;20932472;20513526;5977308;11269647;5590169;20009419;11302798;18814996;10529104;18128667;11222977;11222898;13049009;23553050</vt:lpwstr>
  </property>
  <property fmtid="{D5CDD505-2E9C-101B-9397-08002B2CF9AE}" pid="9" name="CITY">
    <vt:lpwstr>מרכז</vt:lpwstr>
  </property>
  <property fmtid="{D5CDD505-2E9C-101B-9397-08002B2CF9AE}" pid="10" name="DATE">
    <vt:lpwstr>20180315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70301/144.b2;243;244;040i;40jc;40ja</vt:lpwstr>
  </property>
  <property fmtid="{D5CDD505-2E9C-101B-9397-08002B2CF9AE}" pid="15" name="LAWYER">
    <vt:lpwstr>פאדי אסעד;ערן ראו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59812</vt:lpwstr>
  </property>
  <property fmtid="{D5CDD505-2E9C-101B-9397-08002B2CF9AE}" pid="22" name="NEWPARTB">
    <vt:lpwstr>02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390020180315</vt:lpwstr>
  </property>
  <property fmtid="{D5CDD505-2E9C-101B-9397-08002B2CF9AE}" pid="34" name="TYPE_N_DATE">
    <vt:lpwstr>39020180315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