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60084-07-20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חלימה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4"/>
          <w:szCs w:val="4"/>
        </w:rPr>
      </w:pPr>
      <w:r>
        <w:rPr>
          <w:rFonts w:cs="Times New Roman"/>
          <w:sz w:val="4"/>
          <w:szCs w:val="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הבכירה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מיכל ברנט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ניבאל חלימה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  <w:bookmarkStart w:id="7" w:name="ABSTRACT_START"/>
      <w:bookmarkEnd w:id="7"/>
      <w:r>
        <w:rPr>
          <w:rFonts w:ascii="David" w:hAnsi="David" w:cs="David"/>
          <w:sz w:val="24"/>
          <w:sz w:val="24"/>
          <w:szCs w:val="24"/>
          <w:rtl w:val="true"/>
        </w:rPr>
        <w:t>הנאשם הורשע לאחר שמיעת הוכחות בעבירות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של ירי במקום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r>
        <w:rPr>
          <w:rFonts w:cs="David" w:ascii="David" w:hAnsi="David"/>
          <w:sz w:val="24"/>
          <w:szCs w:val="24"/>
          <w:rtl w:val="true"/>
        </w:rPr>
        <w:tab/>
      </w:r>
      <w:hyperlink r:id="rId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ועבירה של 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bookmarkStart w:id="8" w:name="ABSTRACT_END"/>
      <w:bookmarkEnd w:id="8"/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על פי הכרעת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15.7.2020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23:40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היו בלשי תחנת קאסם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בפעילות שגרתית במסגרתה התמקמו בחניית כורכר בסמוך לתחנת דלק השלום בכפר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קאסם כאשר הם הבחינו שבמרחק מה מהם מתקיימת חתונה רבת משתתפים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הבלשים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שמעו קולות ירי והבחינו בהבזקים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התקרבו לחממה הממוקמת בסמוך לתחנת הדלק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הבחינו בנאשם ושני אחרים שזהותם ידועה למאשימה כאשר הנאשם נושא עמו אקדח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הזנקה חצי אוטומטי </w:t>
      </w:r>
      <w:r>
        <w:rPr>
          <w:rFonts w:cs="David" w:ascii="David" w:hAnsi="David"/>
          <w:sz w:val="24"/>
          <w:szCs w:val="24"/>
        </w:rPr>
        <w:t>ZORAKI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מוסב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הטעון במחסנית תחמושת קליעית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דרך את הנשק ונקר אותו מספר פעמים וכן ירה בו באוויר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התקרבו הבלשים לחממה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ועצרו את הנאשם והאחרים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ניסה להתנגד למעצרו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אשר הצליחו הבלשים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לאזוק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ניצל הנאשם את הגעתם של עוברי אורח למקום ונמלט מהחממה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כשהוא אזוק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לעבר חתונה שהתקיימה בסמוך לחממה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רק לאחר כעשר דקות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ולאחר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שאביו של הנאשם ביקש ממנו לחזור למקום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חזר הנאשם לחממה ונעצר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טיעוני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המאשימה לעונש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 שהערכים המוגנים הם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ביטחונו של אדם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ושלמות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נשיאת נשק יוצרת סיכון משמעות שמא יעשה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העלול לפגוע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בחפים 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השימוש בנשק גורם להתעצמות הפעילות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תופעה המאיימת גם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ופוגעת בשלטון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סדרי המשטר והחברה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יש לנקוט ביד קשה בענישה 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מנת להרתיע את הציבור וכן להילחם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המדינה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צריך לתת את ידו למיגור התופעה ולהרחיק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את העבריין עם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האקדח מחיי אזרחי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חוזר ומתריע 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החומרה בעבירות הנשק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ובחברה הערבית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מדיניות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ההחמרה באה לידי ביטוי הן בהנחיית פרקליטות המדינה והן בתיקון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אשר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קבע עונש מינימום בעבירה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שהנאשם ביצע את העבירה טרם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התיקון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 xml:space="preserve">יש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לתת את הדעת למגמת ההחמרה בענישה בעבירות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 העובדה שהנאשם נשא נשק קטלני יחד עם תחמושת במקום הומה אדם ואף ירה בו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מידת הפגיעה בערכים המוגנים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מתחם הענישה נע בין 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מבחינת נסיבות שאינן קשורות בביצוע העבירה –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יש ליתן משקל להרתעת הרבים לאור המציאות העגומה והשימוש הרב בנשק ומאידך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לקחת בחשבון שמדובר במי שנעדר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ניהל את ההליך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עתרה להשית על הנאשם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טיעוני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הנאשם לעונש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>- 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שאינו יכול לטעון לקבלת אחריות שכן הנאשם הורשע לאחר שמיעת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הירי היה בחתונה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ירי פלילי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 לכיוון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מתייחסים לנאשמים שהינם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כשלצד עבירות הנשק היו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סחיטה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באיומים או אנשים עם עבר פלילי שהצטיידו בנשק על מנת לירות באחרים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אנשים שהם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חלק מארגוני פשיעה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שמשלח ידם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 מאלה אליהם התייחסה המאשימה 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החזיקו בנשק במשך שנה וחצי בשונה מהנאשם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נתון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לעבודה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לעת שמיעת הטיעונים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לעונש הוא פצוע קשה ועבר ניתוחים כעולה מהמסמכים הרפואיים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הוגש מסמך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ולפיו עבר הנאשם ניתוח בברך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מדובר בתיק קלאסי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הנאשם היה בדרכו לבצע עבירה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כפר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במיוחס לו וזו זכותו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העבירות הן משנת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נפתחו נגדו תיקים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מאורס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ומתעתד להתחתן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לעבור ניתוח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 להפנות את הנאשם לשירות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להתייחס אליו במידת הרחמים ולא להשית עליו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פסיקה שהוגשה על ידי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המאשימה –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ab/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147/21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ירין ביטון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ערעור המדינה על קולת עונשו של המשיב אשר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במסגרת הסדר טיעון בעבירה של רכישה והחזקה של נשק – אקדח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תחמושת ולבנת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חבלה ונדון ל 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חרף עברו הפלילי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למרות הודאתו של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מיצוי הדין עימו ונסיבותיו האישיות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אביו אשר מרצה מאסר ואחיו הסובל ממחלה חשוכת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מרפא כמו גם מצבו הכלכלי הקשה</w:t>
      </w:r>
      <w:r>
        <w:rPr>
          <w:rFonts w:cs="David" w:ascii="David" w:hAnsi="David"/>
          <w:sz w:val="24"/>
          <w:szCs w:val="24"/>
          <w:rtl w:val="true"/>
        </w:rPr>
        <w:t xml:space="preserve">) 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החמיר בית המשפט העליון את עונשו והעמידו על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שלוש שנות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8869/21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קואסמה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נדון ערעור המדינה על קולת עונשו של המשיב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נדון ל –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לאחר שהורשע בהתאם להודאתו בשלושה אישומים של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עבירות בנשק – רכישה והחזקת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סחר ועסקה אחרת בנשק ורכישה והחזקת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חלקי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החמיר בעונשו והעמידו על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דובר ברכישת נשק וחלקיו וסחר בנשק כשכל אלה התייחסו לרובים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וערעור שכנגד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עבסה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נדונו ערעור המדינה על קולת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עונשו של המשיב אשר נדון ל –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בגין לאחר שהורשע בהתאם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להודאתו בשישה אישומים של עבירות בנשק ומנגד ערעורו של המשיב על חומרת עונשו</w:t>
      </w:r>
      <w:r>
        <w:rPr>
          <w:rFonts w:cs="David" w:ascii="David" w:hAnsi="David"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החמיר בעונשו של המשיב והעמידו על </w:t>
      </w:r>
      <w:r>
        <w:rPr>
          <w:rFonts w:cs="David" w:ascii="David" w:hAnsi="David"/>
          <w:sz w:val="24"/>
          <w:szCs w:val="24"/>
        </w:rPr>
        <w:t>72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 w:ascii="David" w:hAnsi="David"/>
          <w:rtl w:val="true"/>
        </w:rPr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עידן קרף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rtl w:val="true"/>
        </w:rPr>
        <w:t xml:space="preserve">נדונו ערעורים של שלושה מערערים אשר שניים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מהם הורשעו בהתאם להודאתם בעבירות של הובלה ונשיאת נשק ונדונו ל –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מאסר בפועל ואילו השלישי הורשע בהתאם להודאתו בביצוע עסקה אחרת בנשק ונדון ל </w:t>
      </w:r>
      <w:r>
        <w:rPr>
          <w:rFonts w:cs="David" w:ascii="David" w:hAnsi="David"/>
          <w:rtl w:val="true"/>
        </w:rPr>
        <w:tab/>
        <w:t xml:space="preserve">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לשניים מן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אלה שנדונו ל –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הרשעות קודמות ואילו המערער השלישי הורשע בעבירות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חמורות מאלה של השניים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נח 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rtl w:val="true"/>
        </w:rPr>
        <w:t xml:space="preserve"> הורשע המערער על פי הודאתו בעבירה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החזקה ונשיאה של נשק – אקדח הזנקה שהוסב טעון במחסנית ובה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ונדון ל –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למערער היו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במגוון 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חמורות והוא ריצה מאסרים בעברו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 w:ascii="David" w:hAnsi="David"/>
          <w:rtl w:val="true"/>
        </w:rPr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rtl w:val="true"/>
        </w:rPr>
        <w:t xml:space="preserve">הורשע המערער על פי הודאתו בעבירות של החזקת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ואביזר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איומים והפרעה לשוטר במילוי תפקידו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ונדון ל 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למערער היו הרשעות קודמות בעבירות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רכוש וסמים והעבירות בתיק נושא הערעור בוצעו זמן קצר לאחר שחרורו ממאסר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דיון והכרעה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5681/23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נח חווא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David" w:hAnsi="David" w:cs="David"/>
          <w:sz w:val="24"/>
          <w:sz w:val="24"/>
          <w:szCs w:val="24"/>
          <w:rtl w:val="true"/>
        </w:rPr>
        <w:t>נפסק על ידי כבוד השופט אלרון כהאי לישנא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David" w:ascii="David" w:hAnsi="David"/>
          <w:szCs w:val="24"/>
          <w:rtl w:val="true"/>
        </w:rPr>
        <w:tab/>
        <w:t xml:space="preserve">" </w:t>
      </w:r>
      <w:r>
        <w:rPr>
          <w:rFonts w:ascii="David" w:hAnsi="David" w:cs="David"/>
          <w:szCs w:val="24"/>
          <w:rtl w:val="true"/>
        </w:rPr>
        <w:t>עבירות הנשק באשר הן הפכו למכת מדינה</w:t>
      </w:r>
      <w:r>
        <w:rPr>
          <w:rFonts w:cs="David" w:ascii="David" w:hAnsi="David"/>
          <w:szCs w:val="24"/>
          <w:rtl w:val="true"/>
        </w:rPr>
        <w:t xml:space="preserve">. </w:t>
      </w:r>
      <w:r>
        <w:rPr>
          <w:rFonts w:ascii="David" w:hAnsi="David" w:cs="David"/>
          <w:szCs w:val="24"/>
          <w:rtl w:val="true"/>
        </w:rPr>
        <w:t xml:space="preserve">חומרתן היתרה והשפעתן על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תחושת הביטחון של כלל אזרחי המדינה מחייבות הטלת ענישה משמעותית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גם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 xml:space="preserve">על נאשם נעדר עבר פלילי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שאינו מענייננו במקרה דנן</w:t>
      </w:r>
      <w:r>
        <w:rPr>
          <w:rFonts w:cs="David" w:ascii="David" w:hAnsi="David"/>
          <w:szCs w:val="24"/>
          <w:rtl w:val="true"/>
        </w:rPr>
        <w:t xml:space="preserve">). </w:t>
      </w:r>
      <w:r>
        <w:rPr>
          <w:rFonts w:ascii="David" w:hAnsi="David" w:cs="David"/>
          <w:szCs w:val="24"/>
          <w:rtl w:val="true"/>
        </w:rPr>
        <w:t xml:space="preserve">מדיניות ההחמרה ביחס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לכלל עבירות הנשק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אשר ניכרת בפסיקתו של בית משפט זה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באה לידי ביטוי 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 xml:space="preserve">סטטוטורי </w:t>
      </w:r>
      <w:hyperlink r:id="rId19">
        <w:r>
          <w:rPr>
            <w:rStyle w:val="Hyperlink"/>
            <w:rFonts w:ascii="David" w:hAnsi="David" w:cs="David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Cs w:val="24"/>
          </w:rPr>
          <w:t>144</w:t>
        </w:r>
        <w:r>
          <w:rPr>
            <w:rStyle w:val="Hyperlink"/>
            <w:rFonts w:cs="David" w:ascii="David" w:hAnsi="David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Cs w:val="24"/>
            <w:rtl w:val="true"/>
          </w:rPr>
          <w:t>ז</w:t>
        </w:r>
        <w:r>
          <w:rPr>
            <w:rStyle w:val="Hyperlink"/>
            <w:rFonts w:cs="David" w:ascii="David" w:hAnsi="David"/>
            <w:szCs w:val="24"/>
            <w:rtl w:val="true"/>
          </w:rPr>
          <w:t>)</w:t>
        </w:r>
      </w:hyperlink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szCs w:val="24"/>
          <w:rtl w:val="true"/>
        </w:rPr>
        <w:t>ל</w:t>
      </w:r>
      <w:hyperlink r:id="rId20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Cs w:val="24"/>
          <w:rtl w:val="true"/>
        </w:rPr>
        <w:t xml:space="preserve"> אשר חוקק במסגרת תיקון מס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cs="David" w:ascii="David" w:hAnsi="David"/>
          <w:szCs w:val="24"/>
        </w:rPr>
        <w:t>140</w:t>
      </w:r>
      <w:r>
        <w:rPr>
          <w:rFonts w:cs="David" w:ascii="David" w:hAnsi="David"/>
          <w:szCs w:val="24"/>
          <w:rtl w:val="true"/>
        </w:rPr>
        <w:t xml:space="preserve"> </w:t>
        <w:tab/>
      </w:r>
      <w:r>
        <w:rPr>
          <w:rFonts w:ascii="David" w:hAnsi="David" w:cs="David"/>
          <w:szCs w:val="24"/>
          <w:rtl w:val="true"/>
        </w:rPr>
        <w:t xml:space="preserve">לחוק </w:t>
      </w:r>
      <w:r>
        <w:rPr>
          <w:rFonts w:cs="David" w:ascii="David" w:hAnsi="David"/>
          <w:szCs w:val="24"/>
          <w:rtl w:val="true"/>
        </w:rPr>
        <w:tab/>
        <w:t>(</w:t>
      </w:r>
      <w:r>
        <w:rPr>
          <w:rFonts w:ascii="David" w:hAnsi="David" w:cs="David"/>
          <w:szCs w:val="24"/>
          <w:rtl w:val="true"/>
        </w:rPr>
        <w:t>ראו</w:t>
      </w:r>
      <w:r>
        <w:rPr>
          <w:rFonts w:cs="David" w:ascii="David" w:hAnsi="David"/>
          <w:szCs w:val="24"/>
          <w:rtl w:val="true"/>
        </w:rPr>
        <w:t xml:space="preserve">: </w:t>
      </w:r>
      <w:r>
        <w:rPr>
          <w:rFonts w:ascii="David" w:hAnsi="David" w:cs="David"/>
          <w:szCs w:val="24"/>
          <w:rtl w:val="true"/>
        </w:rPr>
        <w:t xml:space="preserve">חוק העונשין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תיקון מס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cs="David" w:ascii="David" w:hAnsi="David"/>
          <w:szCs w:val="24"/>
        </w:rPr>
        <w:t>140</w:t>
      </w:r>
      <w:r>
        <w:rPr>
          <w:rFonts w:cs="David" w:ascii="David" w:hAnsi="David"/>
          <w:szCs w:val="24"/>
          <w:rtl w:val="true"/>
        </w:rPr>
        <w:t xml:space="preserve"> – </w:t>
      </w:r>
      <w:r>
        <w:rPr>
          <w:rFonts w:ascii="David" w:hAnsi="David" w:cs="David"/>
          <w:szCs w:val="24"/>
          <w:rtl w:val="true"/>
        </w:rPr>
        <w:t>הוראת שעה</w:t>
      </w:r>
      <w:r>
        <w:rPr>
          <w:rFonts w:cs="David" w:ascii="David" w:hAnsi="David"/>
          <w:szCs w:val="24"/>
          <w:rtl w:val="true"/>
        </w:rPr>
        <w:t>)....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בעניין ביטון התייחס חברי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השופט א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שטיין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בהסכמת חברתי השופטת ר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רונן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ובהסכמתי</w:t>
      </w:r>
      <w:r>
        <w:rPr>
          <w:rFonts w:cs="David" w:ascii="David" w:hAnsi="David"/>
          <w:szCs w:val="24"/>
          <w:rtl w:val="true"/>
        </w:rPr>
        <w:t xml:space="preserve">) </w:t>
      </w:r>
      <w:r>
        <w:rPr>
          <w:rFonts w:ascii="David" w:hAnsi="David" w:cs="David"/>
          <w:szCs w:val="24"/>
          <w:rtl w:val="true"/>
        </w:rPr>
        <w:t>למדיניות ההחמרה האמורה באומרו</w:t>
      </w:r>
      <w:r>
        <w:rPr>
          <w:rFonts w:cs="David" w:ascii="David" w:hAnsi="David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  <w:tab/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נשק לסוגיהן היו זה מכבר למכת 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האיסורים על עבירות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כאמור באים להגן על ערכים חברתיים שכוללים שמירה על חיי אדם ועל שלמות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שמירה על סדרי חיים תקינים ושלווים שאינם מופרעים על ידי איש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האוחז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בתת מקלע </w:t>
      </w:r>
      <w:r>
        <w:rPr>
          <w:rFonts w:cs="David" w:ascii="David" w:hAnsi="David"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הטלת עונשים חמורים ומרתיעים על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עברייני נשק היא עיקר תרומתם של בתי המשפט למיגור התופעה ולהרחקת 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העבריין עם האקדח משגרת חייהם של אזרחי מדינה שומרי חוק</w:t>
      </w:r>
      <w:r>
        <w:rPr>
          <w:rFonts w:cs="David" w:ascii="David" w:hAnsi="David"/>
          <w:sz w:val="24"/>
          <w:szCs w:val="24"/>
          <w:rtl w:val="true"/>
        </w:rPr>
        <w:t>." (</w:t>
      </w:r>
      <w:r>
        <w:rPr>
          <w:rFonts w:ascii="David" w:hAnsi="David" w:cs="David"/>
          <w:sz w:val="24"/>
          <w:sz w:val="24"/>
          <w:szCs w:val="24"/>
          <w:rtl w:val="true"/>
        </w:rPr>
        <w:t>ראו שם</w:t>
      </w:r>
      <w:r>
        <w:rPr>
          <w:rFonts w:cs="David" w:ascii="David" w:hAnsi="David"/>
          <w:sz w:val="24"/>
          <w:szCs w:val="24"/>
          <w:rtl w:val="true"/>
        </w:rPr>
        <w:t xml:space="preserve">,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פסקאות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  <w:tab/>
        <w:tab/>
      </w:r>
      <w:r>
        <w:rPr>
          <w:rFonts w:ascii="David" w:hAnsi="David" w:cs="David"/>
          <w:szCs w:val="24"/>
          <w:rtl w:val="true"/>
        </w:rPr>
        <w:t xml:space="preserve">בית משפט זה שב ומתריע השכם והערב על חומרתן של עבירות הנשק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בחברה הישראלית בכלל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ובמגזר הערבי בפרט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ראו</w:t>
      </w:r>
      <w:r>
        <w:rPr>
          <w:rFonts w:cs="David" w:ascii="David" w:hAnsi="David"/>
          <w:szCs w:val="24"/>
          <w:rtl w:val="true"/>
        </w:rPr>
        <w:t xml:space="preserve">: </w:t>
      </w:r>
      <w:r>
        <w:rPr>
          <w:rFonts w:ascii="David" w:hAnsi="David" w:cs="David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spacing w:val="0"/>
          <w:szCs w:val="24"/>
          <w:rtl w:val="true"/>
        </w:rPr>
        <w:t>קואסמה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פסקה </w:t>
      </w:r>
      <w:r>
        <w:rPr>
          <w:rFonts w:cs="David" w:ascii="David" w:hAnsi="David"/>
          <w:szCs w:val="24"/>
        </w:rPr>
        <w:t>16</w:t>
      </w:r>
      <w:r>
        <w:rPr>
          <w:rFonts w:cs="David" w:ascii="David" w:hAnsi="David"/>
          <w:szCs w:val="24"/>
          <w:rtl w:val="true"/>
        </w:rPr>
        <w:t xml:space="preserve">; </w:t>
        <w:tab/>
      </w:r>
      <w:r>
        <w:rPr>
          <w:rFonts w:ascii="David" w:hAnsi="David" w:cs="David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spacing w:val="0"/>
          <w:szCs w:val="24"/>
          <w:rtl w:val="true"/>
        </w:rPr>
        <w:t>אבו עבסה</w:t>
      </w:r>
      <w:r>
        <w:rPr>
          <w:rFonts w:cs="David" w:ascii="David" w:hAnsi="David"/>
          <w:b/>
          <w:spacing w:val="0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spacing w:val="0"/>
          <w:szCs w:val="24"/>
          <w:rtl w:val="true"/>
        </w:rPr>
        <w:t xml:space="preserve">פסקה </w:t>
      </w:r>
      <w:r>
        <w:rPr>
          <w:rFonts w:cs="David" w:ascii="David" w:hAnsi="David"/>
          <w:b/>
          <w:spacing w:val="0"/>
          <w:szCs w:val="24"/>
        </w:rPr>
        <w:t>15</w:t>
      </w:r>
      <w:r>
        <w:rPr>
          <w:rFonts w:cs="David" w:ascii="David" w:hAnsi="David"/>
          <w:szCs w:val="24"/>
          <w:rtl w:val="true"/>
        </w:rPr>
        <w:t xml:space="preserve">). </w:t>
      </w:r>
      <w:r>
        <w:rPr>
          <w:rFonts w:ascii="David" w:hAnsi="David" w:cs="David"/>
          <w:szCs w:val="24"/>
          <w:rtl w:val="true"/>
        </w:rPr>
        <w:t>עבירות אלו מגלמות סיכון רבתי לשלום הציבור</w:t>
      </w:r>
      <w:r>
        <w:rPr>
          <w:rFonts w:cs="David" w:ascii="David" w:hAnsi="David"/>
          <w:szCs w:val="24"/>
          <w:rtl w:val="true"/>
        </w:rPr>
        <w:t xml:space="preserve">, </w:t>
        <w:tab/>
      </w:r>
      <w:r>
        <w:rPr>
          <w:rFonts w:ascii="David" w:hAnsi="David" w:cs="David"/>
          <w:szCs w:val="24"/>
          <w:rtl w:val="true"/>
        </w:rPr>
        <w:t>לביטחונו ולסדר החברתי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כאשר חדשות לבקרים אנו עדים לתוצאותיהן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 xml:space="preserve">ההרסניות ומעבר לכך הן משמשות קרקע פורייה לעבירות נוספות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spacing w:val="0"/>
          <w:szCs w:val="24"/>
          <w:rtl w:val="true"/>
        </w:rPr>
        <w:t>נורי</w:t>
      </w:r>
      <w:r>
        <w:rPr>
          <w:rFonts w:cs="David" w:ascii="David" w:hAnsi="David"/>
          <w:szCs w:val="24"/>
          <w:rtl w:val="true"/>
        </w:rPr>
        <w:t xml:space="preserve">, </w:t>
        <w:tab/>
      </w:r>
      <w:r>
        <w:rPr>
          <w:rFonts w:ascii="David" w:hAnsi="David" w:cs="David"/>
          <w:szCs w:val="24"/>
          <w:rtl w:val="true"/>
        </w:rPr>
        <w:t xml:space="preserve">פסקה </w:t>
      </w:r>
      <w:r>
        <w:rPr>
          <w:rFonts w:cs="David" w:ascii="David" w:hAnsi="David"/>
          <w:szCs w:val="24"/>
        </w:rPr>
        <w:t>9</w:t>
      </w:r>
      <w:r>
        <w:rPr>
          <w:rFonts w:cs="David" w:ascii="David" w:hAnsi="David"/>
          <w:szCs w:val="24"/>
          <w:rtl w:val="true"/>
        </w:rPr>
        <w:t xml:space="preserve">).  </w:t>
      </w:r>
    </w:p>
    <w:p>
      <w:pPr>
        <w:pStyle w:val="Ruller4"/>
        <w:ind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  <w:tab/>
        <w:tab/>
      </w:r>
      <w:r>
        <w:rPr>
          <w:rFonts w:ascii="David" w:hAnsi="David" w:cs="David"/>
          <w:szCs w:val="24"/>
          <w:rtl w:val="true"/>
        </w:rPr>
        <w:t>בהתאם לכך ולנוכח ריבוי מקרי הירי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יש לנקוט במדיניות ענישה מחמירה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בגין ביצוע עבירות נשק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החל מיצרני או מבריחי הנשק הבלתי חוקי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דרך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 xml:space="preserve">הסוחרים בו ועד לאלו הנוטלים אותו לידם ועושים בו שימוש בלתי חוקי לרבות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החזקה ונשיאה</w:t>
      </w:r>
      <w:r>
        <w:rPr>
          <w:rFonts w:cs="David" w:ascii="David" w:hAnsi="David"/>
          <w:szCs w:val="24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הערכים המוגנים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חיי אדם ועל שלמות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שמירה על סדרי חיים תקינים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ובטחון הציבור 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הענישה –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סקירת הפסיקה שהוגשה על ידי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סבורני כי מתחם הענישה נע בין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באשר לעבירת הנשק בלבד נע המתחם בין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–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ולכך יש לצרף את העבירה של 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עבירה חמורה לכשעצמה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מיקומו של הנאשם במתחם הענישה</w:t>
      </w:r>
      <w:r>
        <w:rPr>
          <w:rFonts w:cs="David" w:ascii="David" w:hAnsi="David"/>
          <w:sz w:val="24"/>
          <w:szCs w:val="24"/>
          <w:rtl w:val="true"/>
        </w:rPr>
        <w:t>-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זכותו של הנאשם לכפור בעבירות המיוחסות לו ולנהל הוכחות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אין הוא זכאי לאותה הקלה הניתנת למי שנטל אחריות על מעשיו וחסך מזמנו של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מטעם זה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אי נטילת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לנכון להפנות את הנאשם לשירות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כל שכן לממונה על עבודות השירות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נעדר עבר פלילי ועובדה זו תילקח בחשבון בגזירת עונשו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העבירה  בוצעה בסמוך למקום הומה אדם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נטל אחריות על ביצועה וממשיך להכחישה אף עתה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עבר כל הליך שיקומי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כמצוות בית המשפט העליון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יש להחמיר בענישה ולהטיל ענישה משמעותית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גם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>על נאשם נעדר עבר פלילי ביחס לכלל עבירות הנשק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 xml:space="preserve">וכדברי בית המשפט </w:t>
      </w:r>
      <w:r>
        <w:rPr>
          <w:rFonts w:cs="David" w:ascii="David" w:hAnsi="David"/>
          <w:szCs w:val="24"/>
          <w:rtl w:val="true"/>
        </w:rPr>
        <w:tab/>
      </w:r>
      <w:r>
        <w:rPr>
          <w:rFonts w:ascii="David" w:hAnsi="David" w:cs="David"/>
          <w:szCs w:val="24"/>
          <w:rtl w:val="true"/>
        </w:rPr>
        <w:t xml:space="preserve">העליון </w:t>
      </w:r>
      <w:r>
        <w:rPr>
          <w:rFonts w:cs="David" w:ascii="David" w:hAnsi="David"/>
          <w:szCs w:val="24"/>
          <w:rtl w:val="true"/>
        </w:rPr>
        <w:t>: "</w:t>
      </w:r>
      <w:r>
        <w:rPr>
          <w:rFonts w:ascii="David" w:hAnsi="David" w:cs="David"/>
          <w:b/>
          <w:b/>
          <w:spacing w:val="0"/>
          <w:szCs w:val="24"/>
          <w:rtl w:val="true"/>
        </w:rPr>
        <w:t xml:space="preserve">המציאות בארצנו מוכיחה כי הקלישאה אודות האקדח במערכה הראשונה </w:t>
      </w:r>
      <w:r>
        <w:rPr>
          <w:rFonts w:cs="David" w:ascii="David" w:hAnsi="David"/>
          <w:b/>
          <w:spacing w:val="0"/>
          <w:szCs w:val="24"/>
          <w:rtl w:val="true"/>
        </w:rPr>
        <w:tab/>
      </w:r>
      <w:r>
        <w:rPr>
          <w:rFonts w:ascii="David" w:hAnsi="David" w:cs="David"/>
          <w:b/>
          <w:b/>
          <w:spacing w:val="0"/>
          <w:szCs w:val="24"/>
          <w:rtl w:val="true"/>
        </w:rPr>
        <w:t>אינה מדוייקת</w:t>
      </w:r>
      <w:r>
        <w:rPr>
          <w:rFonts w:cs="David" w:ascii="David" w:hAnsi="David"/>
          <w:b/>
          <w:spacing w:val="0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spacing w:val="0"/>
          <w:szCs w:val="24"/>
          <w:rtl w:val="true"/>
        </w:rPr>
        <w:t xml:space="preserve">באשר לעיתים מזומנות האקדח אינו ממתין עד למערכה האחרונה </w:t>
      </w:r>
      <w:r>
        <w:rPr>
          <w:rFonts w:cs="David" w:ascii="David" w:hAnsi="David"/>
          <w:b/>
          <w:spacing w:val="0"/>
          <w:szCs w:val="24"/>
          <w:rtl w:val="true"/>
        </w:rPr>
        <w:tab/>
      </w:r>
      <w:r>
        <w:rPr>
          <w:rFonts w:ascii="David" w:hAnsi="David" w:cs="David"/>
          <w:b/>
          <w:b/>
          <w:spacing w:val="0"/>
          <w:szCs w:val="24"/>
          <w:rtl w:val="true"/>
        </w:rPr>
        <w:t xml:space="preserve">ויורה </w:t>
      </w:r>
      <w:r>
        <w:rPr>
          <w:rFonts w:cs="David" w:ascii="David" w:hAnsi="David"/>
          <w:b/>
          <w:spacing w:val="0"/>
          <w:szCs w:val="24"/>
          <w:rtl w:val="true"/>
        </w:rPr>
        <w:tab/>
      </w:r>
      <w:r>
        <w:rPr>
          <w:rFonts w:ascii="David" w:hAnsi="David" w:cs="David"/>
          <w:b/>
          <w:b/>
          <w:spacing w:val="0"/>
          <w:szCs w:val="24"/>
          <w:rtl w:val="true"/>
        </w:rPr>
        <w:t>עוד קודם לכן</w:t>
      </w:r>
      <w:r>
        <w:rPr>
          <w:rFonts w:cs="David" w:ascii="David" w:hAnsi="David"/>
          <w:b/>
          <w:spacing w:val="0"/>
          <w:szCs w:val="24"/>
          <w:rtl w:val="true"/>
        </w:rPr>
        <w:t xml:space="preserve">" </w:t>
      </w:r>
      <w:r>
        <w:rPr>
          <w:rFonts w:cs="David" w:ascii="David" w:hAnsi="David"/>
          <w:szCs w:val="24"/>
          <w:rtl w:val="true"/>
        </w:rPr>
        <w:t>(</w:t>
      </w:r>
      <w:hyperlink r:id="rId21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2398/14</w:t>
        </w:r>
      </w:hyperlink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spacing w:val="0"/>
          <w:szCs w:val="24"/>
          <w:rtl w:val="true"/>
        </w:rPr>
        <w:t>אלהזייל נ</w:t>
      </w:r>
      <w:r>
        <w:rPr>
          <w:rFonts w:cs="David" w:ascii="David" w:hAnsi="David"/>
          <w:b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spacing w:val="0"/>
          <w:szCs w:val="24"/>
          <w:rtl w:val="true"/>
        </w:rPr>
        <w:t>מדינת ישראל</w:t>
      </w:r>
      <w:r>
        <w:rPr>
          <w:rFonts w:cs="David" w:ascii="David" w:hAnsi="David"/>
          <w:szCs w:val="24"/>
          <w:rtl w:val="true"/>
        </w:rPr>
        <w:t>).</w:t>
      </w:r>
    </w:p>
    <w:p>
      <w:pPr>
        <w:pStyle w:val="Ruller4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ששקלתי את כלל השיקולים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ואך לנוכח העובדה שמדובר במי שזה יהיה מאסרו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הנני גוזרת עליו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והתנאי הוא שתוך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ממאסר לא יעבור עבירת נשק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numPr>
          <w:ilvl w:val="0"/>
          <w:numId w:val="3"/>
        </w:numPr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או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tabs>
          <w:tab w:val="clear" w:pos="720"/>
          <w:tab w:val="left" w:pos="1134" w:leader="none"/>
        </w:tabs>
        <w:ind w:start="141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sz w:val="24"/>
          <w:szCs w:val="24"/>
        </w:rPr>
        <w:t>45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9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 אייר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יוני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משה יחזקאל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bookmarkEnd w:id="9"/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60084-07-20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ניבאל חלימה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8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WW8Num3z0">
    <w:name w:val="WW8Num3z0"/>
    <w:qFormat/>
    <w:rPr>
      <w:sz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7309272" TargetMode="External"/><Relationship Id="rId13" Type="http://schemas.openxmlformats.org/officeDocument/2006/relationships/hyperlink" Target="http://www.nevo.co.il/case/28200855" TargetMode="External"/><Relationship Id="rId14" Type="http://schemas.openxmlformats.org/officeDocument/2006/relationships/hyperlink" Target="http://www.nevo.co.il/case/27734980" TargetMode="External"/><Relationship Id="rId15" Type="http://schemas.openxmlformats.org/officeDocument/2006/relationships/hyperlink" Target="http://www.nevo.co.il/case/27925239" TargetMode="External"/><Relationship Id="rId16" Type="http://schemas.openxmlformats.org/officeDocument/2006/relationships/hyperlink" Target="http://www.nevo.co.il/case/29867910" TargetMode="External"/><Relationship Id="rId17" Type="http://schemas.openxmlformats.org/officeDocument/2006/relationships/hyperlink" Target="http://www.nevo.co.il/case/27404359" TargetMode="External"/><Relationship Id="rId18" Type="http://schemas.openxmlformats.org/officeDocument/2006/relationships/hyperlink" Target="http://www.nevo.co.il/case/29867910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3093744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2024-06-06T12:13:00Z</dcterms:created>
  <dc:creator> </dc:creator>
  <dc:description/>
  <cp:keywords/>
  <dc:language>en-IL</dc:language>
  <cp:lastModifiedBy>h1</cp:lastModifiedBy>
  <dcterms:modified xsi:type="dcterms:W3CDTF">2024-06-06T12:13:00Z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ניבאל חלימה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27309272;28200855;27734980;27925239;29867910:2;27404359;13093744</vt:lpwstr>
  </property>
  <property fmtid="{D5CDD505-2E9C-101B-9397-08002B2CF9AE}" pid="9" name="CITY">
    <vt:lpwstr>מרכז</vt:lpwstr>
  </property>
  <property fmtid="{D5CDD505-2E9C-101B-9397-08002B2CF9AE}" pid="10" name="DATE">
    <vt:lpwstr>20240603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70301/144.b;340a.b.1;275;144.g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60084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390020240603</vt:lpwstr>
  </property>
  <property fmtid="{D5CDD505-2E9C-101B-9397-08002B2CF9AE}" pid="34" name="TYPE_N_DATE">
    <vt:lpwstr>39020240603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