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60257-12-23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קורן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1"/>
        <w:gridCol w:w="4664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לפני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1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4" w:type="dxa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הילה כהן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 xml:space="preserve">                                        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64" w:type="dxa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אריאל קורן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 –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הובא באמצעות שב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אנג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ליקה שרה סדיקוב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382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382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2001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u w:val="none"/>
          </w:rPr>
          <w:t>18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bCs/>
          <w:sz w:val="40"/>
          <w:szCs w:val="40"/>
        </w:rPr>
      </w:pPr>
      <w:bookmarkStart w:id="5" w:name="PsakDin"/>
      <w:bookmarkStart w:id="6" w:name="LawTable_End"/>
      <w:bookmarkEnd w:id="5"/>
      <w:bookmarkEnd w:id="6"/>
      <w:r>
        <w:rPr>
          <w:rFonts w:ascii="David" w:hAnsi="David"/>
          <w:bCs/>
          <w:sz w:val="40"/>
          <w:sz w:val="40"/>
          <w:szCs w:val="40"/>
          <w:rtl w:val="true"/>
        </w:rPr>
        <w:t>ג ז ר  ד י ן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40"/>
          <w:szCs w:val="40"/>
          <w:u w:val="single"/>
        </w:rPr>
      </w:pPr>
      <w:r>
        <w:rPr>
          <w:rFonts w:cs="David" w:ascii="David" w:hAnsi="David"/>
          <w:b/>
          <w:bCs/>
          <w:sz w:val="40"/>
          <w:szCs w:val="4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rtl w:val="true"/>
        </w:rPr>
        <w:t>כנגד הנאשם הוגש כתב אישום אשר מייחס לו את 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תקיפה הגורמת חבלה של ממש של בת זוג לפי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וכן תקיפה סתם של בת זוג 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0" w:name="ABSTRACT_END"/>
      <w:bookmarkEnd w:id="10"/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והמתלוננת היו בני זוג למשך חודשיים ימים והיא התגוררה ברחוב יוספטל בעיר רמלה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ביתה של המתלוננת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25.12.23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07:00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פגשה המתלוננת את הנאשם בביתה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הסיעה המתלוננת את הנאשם ברכבה עד הגעתם בסמוך לבית העסק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מאפיית החיטה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ברמלה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המתלוננת עצרה את הרכב ולנוכח כעסו של הנאשם על המתלוננת כי שלחה לו מוקדם יותר תמונה ובה התכתבויות בינה ובין גברים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הנאשם לצעוק על המתלוננת ושאל אותה מדוע שלחה לו את התמונה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חששה של המתלוננת מפני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ניסתה להוריד את חגורת הבטיחות ברכב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החגורה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ולעזוב את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תפס הנאשם את החגורה והצמידה לצווארה של המתלוננת ומשך את החגורה בחוזקה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הסיעה המתלוננת את הנאשם ברכב עד לכתובת ביתה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עצרה את הרכב ופתחה את דלת הנהג ורצה לבניין שנמצא בסמיכות לביתה והתחבאה מאחורי ספה בלובי הבניין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רץ אחר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אחז בידיה ומשך אותה תוך שהוא צועק לעברה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למה את בורחת ממני</w:t>
      </w:r>
      <w:r>
        <w:rPr>
          <w:rFonts w:cs="David" w:ascii="David" w:hAnsi="David"/>
          <w:rtl w:val="true"/>
        </w:rPr>
        <w:t xml:space="preserve">?". </w:t>
      </w:r>
      <w:r>
        <w:rPr>
          <w:rFonts w:ascii="David" w:hAnsi="David"/>
          <w:rtl w:val="true"/>
        </w:rPr>
        <w:t>עוברי אורח שזהותם אינה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התקשרו למשטרה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מהתקיפה האמורה נגרמה למתלוננת חבלה בדמות שריטות ואדמומיות בצוואר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כפר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לאחר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וא </w:t>
      </w:r>
      <w:r>
        <w:rPr>
          <w:rFonts w:ascii="David" w:hAnsi="David"/>
          <w:rtl w:val="true"/>
        </w:rPr>
        <w:t>הורשע בעבירות ש</w:t>
      </w:r>
      <w:r>
        <w:rPr>
          <w:rFonts w:ascii="David" w:hAnsi="David"/>
          <w:rtl w:val="true"/>
        </w:rPr>
        <w:t xml:space="preserve">צוינו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הפנתה לרישום הפלילי של הנאשם ואשר כולל ארבע הרשעות קודמות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הרשעתו האחרונה של הנאשם היא משנת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 ביצוע עבירות של אלימות כלפי בת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שהיא גרושתו של הנאשם ואם ילדיו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והנאשם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ח אותו גזר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תלוי ועומד נגד הנאשם מאסר על תנאי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שהוא בר הפעלה בתיק הנוכחי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ציינה גם שיש לו </w:t>
      </w:r>
      <w:r>
        <w:rPr>
          <w:rFonts w:ascii="David" w:hAnsi="David"/>
          <w:rtl w:val="true"/>
        </w:rPr>
        <w:t xml:space="preserve">הרשעה </w:t>
      </w:r>
      <w:r>
        <w:rPr>
          <w:rFonts w:ascii="David" w:hAnsi="David"/>
          <w:rtl w:val="true"/>
        </w:rPr>
        <w:t>נוספת בעבירת אלימות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שלא כנגד בת זוג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המאשימה טענה שמתחם העונש ההולם 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ושיש למקם את הנאשם בחלקו העליון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טענה שיש </w:t>
      </w:r>
      <w:r>
        <w:rPr>
          <w:rFonts w:ascii="David" w:hAnsi="David"/>
          <w:rtl w:val="true"/>
        </w:rPr>
        <w:t xml:space="preserve">להפעיל את המאסר המותנה </w:t>
      </w:r>
      <w:r>
        <w:rPr>
          <w:rFonts w:ascii="David" w:hAnsi="David"/>
          <w:rtl w:val="true"/>
        </w:rPr>
        <w:t xml:space="preserve">האמור </w:t>
      </w:r>
      <w:r>
        <w:rPr>
          <w:rFonts w:ascii="David" w:hAnsi="David"/>
          <w:rtl w:val="true"/>
        </w:rPr>
        <w:t xml:space="preserve">במצטבר </w:t>
      </w:r>
      <w:r>
        <w:rPr>
          <w:rFonts w:ascii="David" w:hAnsi="David"/>
          <w:rtl w:val="true"/>
        </w:rPr>
        <w:t>לעונש שיש להשית עליו בתיק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שסך הכל יש להשית על הנאשם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טענה שהעונש שלו עותרת המאשימה הוא בלתי סביר ומנוגד לעיקרון הפרופורציונלי</w:t>
      </w:r>
      <w:r>
        <w:rPr>
          <w:rFonts w:ascii="David" w:hAnsi="David"/>
          <w:rtl w:val="true"/>
        </w:rPr>
        <w:t xml:space="preserve">ות </w:t>
      </w:r>
      <w:r>
        <w:rPr>
          <w:rFonts w:ascii="David" w:hAnsi="David"/>
          <w:rtl w:val="true"/>
        </w:rPr>
        <w:t>בענישה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טענה שיש לקחת בחשבון לקולא את נסיבות חי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ו של הנאשם כמי שבעבר </w:t>
      </w:r>
      <w:r>
        <w:rPr>
          <w:rFonts w:ascii="David" w:hAnsi="David"/>
          <w:rtl w:val="true"/>
        </w:rPr>
        <w:t xml:space="preserve">נפל </w:t>
      </w:r>
      <w:r>
        <w:rPr>
          <w:rFonts w:ascii="David" w:hAnsi="David"/>
          <w:rtl w:val="true"/>
        </w:rPr>
        <w:t>לשימוש 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 הליך גמילה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התחתן בגיל מאד צעיר והיום אב ל</w:t>
      </w:r>
      <w:r>
        <w:rPr>
          <w:rFonts w:ascii="David" w:hAnsi="David"/>
          <w:rtl w:val="true"/>
        </w:rPr>
        <w:t xml:space="preserve">שני </w:t>
      </w:r>
      <w:r>
        <w:rPr>
          <w:rFonts w:ascii="David" w:hAnsi="David"/>
          <w:rtl w:val="true"/>
        </w:rPr>
        <w:t>ילדים קט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נים מגרושתו </w:t>
      </w:r>
      <w:r>
        <w:rPr>
          <w:rFonts w:ascii="David" w:hAnsi="David"/>
          <w:rtl w:val="true"/>
        </w:rPr>
        <w:t xml:space="preserve">ואשר </w:t>
      </w:r>
      <w:r>
        <w:rPr>
          <w:rFonts w:ascii="David" w:hAnsi="David"/>
          <w:rtl w:val="true"/>
        </w:rPr>
        <w:t>לא ראה אותם מזה תקופה ארוכה בשל מעצרו בתיק הנוכחי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טענה גם ש</w:t>
      </w:r>
      <w:r>
        <w:rPr>
          <w:rFonts w:ascii="David" w:hAnsi="David"/>
          <w:rtl w:val="true"/>
        </w:rPr>
        <w:t xml:space="preserve">המתלוננת עדיין בקשר </w:t>
      </w:r>
      <w:r>
        <w:rPr>
          <w:rFonts w:ascii="David" w:hAnsi="David"/>
          <w:rtl w:val="true"/>
        </w:rPr>
        <w:t xml:space="preserve">עם הנאשם </w:t>
      </w:r>
      <w:r>
        <w:rPr>
          <w:rFonts w:ascii="David" w:hAnsi="David"/>
          <w:rtl w:val="true"/>
        </w:rPr>
        <w:t>ומבקרת אותו בבית המעצר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הוגש מטעם הגנה אישור מהמוסד לביטוח לאומי לפיו הנאשם מקבל קצבת נכות כאשר שיעור הנכות שנקבע לו הוא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אחוז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יובהר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שמהאישור לא ניתן לדעת מה הוא סוג הנכות שבגינה הנאשם מקבל קצבה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האם מדובר בנכות פיזית או שמא מדובר בנכות נפשית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הוגש מטעם ההגנה סיכום אישפוז של הנאשם בבית החולים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גהה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במחלקה לבריאות הנפש בשנת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של בעיות התנהגות ושימוש בסמים ושבעטיים הוצא כנגדו צו אשפוז כפוי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בסיכום הרפואי הובהר שאין הפרעה פסיכיאטרית פעילה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אינדיקציה למחלת נפש ואין כל עילה לאשפוזו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ההגנה הגישה גם אישור רפואי שנוגע לאמו של הנאשם לגבי דיכאונות שמהם סובלת אמו ואשר פוגעות בתפקודה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המתלוננת הגישה מיוזמתה לאחר הטיעונים לעונש ובטרם גזירת הדין מכתב לבית המשפט שבו חזרה על עמדתה המגוננת כלפי הנאשם כפי שתוארה בעדותה בבית המשפט במסגרת הכרעת הדין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להכרעת הדין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והביעה את רצונה להמשך הקשר עם הנאשם ושיקום חייהם המשותפים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בהכרעת הדין קבעתי שהנני מעדיף את עדות המתלוננת באמרות החוץ שלה במשטרה על פני עדותה בבית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ביקשה שייקבע דיון כדי שתסביר את עמדתה בשנית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בהחלטתי מיום </w:t>
      </w:r>
      <w:r>
        <w:rPr>
          <w:rFonts w:cs="David" w:ascii="David" w:hAnsi="David"/>
        </w:rPr>
        <w:t>19.9.24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דחיתי את הבקשה לקביעת דיון וקבעתי שיש לראות במכתב שהוגש על ידי המתלוננת כ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הצהרת נפגעת עבירה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מכוח </w:t>
      </w:r>
      <w:hyperlink r:id="rId1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זכויות נפגעי עבירה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2001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לנפגעת עבירה יש זכות לרשום את כל העולה על רוחה בהצהרת נפגעת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גם אם מדובר בדברי תמיכה בנאשם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לטענת ההגנה </w:t>
      </w:r>
      <w:r>
        <w:rPr>
          <w:rFonts w:ascii="David" w:hAnsi="David"/>
          <w:rtl w:val="true"/>
        </w:rPr>
        <w:t>יש לתת ל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הזדמנות לשקם את חי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ו ואת יחסיו ע</w:t>
      </w:r>
      <w:r>
        <w:rPr>
          <w:rFonts w:ascii="David" w:hAnsi="David"/>
          <w:rtl w:val="true"/>
        </w:rPr>
        <w:t>ם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ההגנה טענה שיש לסטות ממתחם העונש ההולם לקולא מטעמי שיקום ולהסתפק בתקופת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בדבריו האחרונים של הנאשם לבית המשפט </w:t>
      </w:r>
      <w:r>
        <w:rPr>
          <w:rFonts w:ascii="David" w:hAnsi="David"/>
          <w:rtl w:val="true"/>
        </w:rPr>
        <w:t>בטרם גזירת דינו הוא חזר על כפירתו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המשיך לטעון </w:t>
      </w:r>
      <w:r>
        <w:rPr>
          <w:rFonts w:ascii="David" w:hAnsi="David"/>
          <w:rtl w:val="true"/>
        </w:rPr>
        <w:t xml:space="preserve">לחפותו ולא נטל אחריות על מעשיו וזאת </w:t>
      </w:r>
      <w:r>
        <w:rPr>
          <w:rFonts w:ascii="David" w:hAnsi="David"/>
          <w:rtl w:val="true"/>
        </w:rPr>
        <w:t>על אף הכרעת הדין המרשיעה שניתנה לאחר שמיעת הראיות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4355/24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אנטילי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23.6.24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להחלטתו של כב</w:t>
      </w:r>
      <w:r>
        <w:rPr>
          <w:rFonts w:ascii="David" w:hAnsi="David"/>
          <w:rtl w:val="true"/>
        </w:rPr>
        <w:t xml:space="preserve">וד </w:t>
      </w:r>
      <w:r>
        <w:rPr>
          <w:rFonts w:ascii="David" w:hAnsi="David"/>
          <w:rtl w:val="true"/>
        </w:rPr>
        <w:t>השופט כבוב נקבע שקיימת חומרה מיוחדת לעבירות אלימות שמבוצעות כלפי נשים בסביבתן המוגנת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בפרט על ידי בני זוגן ולכן חומרה זו מחייבת את בתי המשפט להשית על המבצעים של עבירות מ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ין אלה ענישה הולמת שיש בה כדי להרתיעם וכדי להפגין את סלידתה של החברה מהמעשים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כך 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בעת שהיה מדובר במי שתקף את בת זוגו וגרם לה לחבלה וגם איים עליה </w:t>
      </w:r>
      <w:r>
        <w:rPr>
          <w:rFonts w:ascii="David" w:hAnsi="David"/>
          <w:rtl w:val="true"/>
        </w:rPr>
        <w:t xml:space="preserve">בכך שאמר לה </w:t>
      </w:r>
      <w:r>
        <w:rPr>
          <w:rFonts w:ascii="David" w:hAnsi="David"/>
          <w:rtl w:val="true"/>
        </w:rPr>
        <w:t xml:space="preserve">שהיא לא תהיה עם גבר אחר </w:t>
      </w:r>
      <w:r>
        <w:rPr>
          <w:rFonts w:ascii="David" w:hAnsi="David"/>
          <w:rtl w:val="true"/>
        </w:rPr>
        <w:t xml:space="preserve">על רקע </w:t>
      </w:r>
      <w:r>
        <w:rPr>
          <w:rFonts w:ascii="David" w:hAnsi="David"/>
          <w:rtl w:val="true"/>
        </w:rPr>
        <w:t>רצונה ל</w:t>
      </w:r>
      <w:r>
        <w:rPr>
          <w:rFonts w:ascii="David" w:hAnsi="David"/>
          <w:rtl w:val="true"/>
        </w:rPr>
        <w:t>נתק קשר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הושתו על הנאשם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8576/22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15.12.22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לדוגמא נוספת לרמת הענישה בעבירות של אלימות כלפי בת זוג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ראו גם את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10.2.16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הושתו על הנאשם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שמתחם העונש ההולם לעבירות שבוצעו על ידי הנאשם ובנסיבות ביצוען 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ופיצוי </w:t>
      </w:r>
      <w:r>
        <w:rPr>
          <w:rFonts w:ascii="David" w:hAnsi="David"/>
          <w:rtl w:val="true"/>
        </w:rPr>
        <w:t>למתלוננת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דחיית הבקשה של ההגנה ל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סטייה ממתחם העונש ההולם מטעמי שיקום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טענה ש</w:t>
      </w:r>
      <w:r>
        <w:rPr>
          <w:rFonts w:ascii="David" w:hAnsi="David"/>
          <w:rtl w:val="true"/>
        </w:rPr>
        <w:t xml:space="preserve">ל ההגנה </w:t>
      </w:r>
      <w:r>
        <w:rPr>
          <w:rFonts w:ascii="David" w:hAnsi="David"/>
          <w:rtl w:val="true"/>
        </w:rPr>
        <w:t xml:space="preserve">שיש </w:t>
      </w:r>
      <w:r>
        <w:rPr>
          <w:rFonts w:ascii="David" w:hAnsi="David"/>
          <w:rtl w:val="true"/>
        </w:rPr>
        <w:t>לסטות ממתחם העונש ההולם מטעמי שיקום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דינה להידחות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הנאשם נעצר עד תום ההליכים בגין התיק הנוכחי ונותר עצור במהלך כל תקופת ניהולו של התיק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כפר בעובדות כתב האישום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לא קיבל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זאת אף בשלב הטיעונים לעונש </w:t>
      </w:r>
      <w:r>
        <w:rPr>
          <w:rFonts w:ascii="David" w:hAnsi="David"/>
          <w:rtl w:val="true"/>
        </w:rPr>
        <w:t xml:space="preserve">לאחר שבית המשפט </w:t>
      </w:r>
      <w:r>
        <w:rPr>
          <w:rFonts w:ascii="David" w:hAnsi="David"/>
          <w:rtl w:val="true"/>
        </w:rPr>
        <w:t xml:space="preserve">כבר </w:t>
      </w:r>
      <w:r>
        <w:rPr>
          <w:rFonts w:ascii="David" w:hAnsi="David"/>
          <w:rtl w:val="true"/>
        </w:rPr>
        <w:t>קבע שגרסתו איננה מהימנה והרשיעו בדין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ואם לא די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לחובתו </w:t>
      </w:r>
      <w:r>
        <w:rPr>
          <w:rFonts w:ascii="David" w:hAnsi="David"/>
          <w:rtl w:val="true"/>
        </w:rPr>
        <w:t xml:space="preserve">של הנאשם </w:t>
      </w:r>
      <w:r>
        <w:rPr>
          <w:rFonts w:ascii="David" w:hAnsi="David"/>
          <w:rtl w:val="true"/>
        </w:rPr>
        <w:t xml:space="preserve">מאסר על תנאי </w:t>
      </w:r>
      <w:r>
        <w:rPr>
          <w:rFonts w:ascii="David" w:hAnsi="David"/>
          <w:rtl w:val="true"/>
        </w:rPr>
        <w:t xml:space="preserve">בר הפעלה </w:t>
      </w:r>
      <w:r>
        <w:rPr>
          <w:rFonts w:ascii="David" w:hAnsi="David"/>
          <w:rtl w:val="true"/>
        </w:rPr>
        <w:t>בגין הרשע</w:t>
      </w:r>
      <w:r>
        <w:rPr>
          <w:rFonts w:ascii="David" w:hAnsi="David"/>
          <w:rtl w:val="true"/>
        </w:rPr>
        <w:t xml:space="preserve">תו בדצמבר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 של אלימות במשפחה כלפי בת זוג קודמת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גרושתו ואם ילדיו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המאסר על תנאי שהוטל עליו לא הרתיעו מלהמשיך ולבצע עבירת אלימות כלפי בת זוג אחרת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ההפניה שביצעה ההגנה לעובד</w:t>
      </w:r>
      <w:r>
        <w:rPr>
          <w:rFonts w:ascii="David" w:hAnsi="David"/>
          <w:rtl w:val="true"/>
        </w:rPr>
        <w:t xml:space="preserve">ה שהנאשם היה בעבר </w:t>
      </w:r>
      <w:r>
        <w:rPr>
          <w:rFonts w:ascii="David" w:hAnsi="David"/>
          <w:rtl w:val="true"/>
        </w:rPr>
        <w:t>מכור לסמים ושעבר הליך 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מתייחסת לאירועים מלפני למעלה מעשור ואינם רלוונטיים לנסיבותיו האישיות נכון להיום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הטענה של ההגנה שיש לסטות לקולא ממתחם העונש ההולם מטעמי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טענה מופרכת וחסר שחר ולכן נדחית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קביעת 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u w:val="single"/>
          <w:rtl w:val="true"/>
        </w:rPr>
        <w:t>לחומרה</w:t>
      </w:r>
      <w:r>
        <w:rPr>
          <w:rFonts w:ascii="David" w:hAnsi="David"/>
          <w:rtl w:val="true"/>
        </w:rPr>
        <w:t xml:space="preserve"> את עברו הפלילי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יש לתת </w:t>
      </w:r>
      <w:r>
        <w:rPr>
          <w:rFonts w:ascii="David" w:hAnsi="David"/>
          <w:rtl w:val="true"/>
        </w:rPr>
        <w:t xml:space="preserve">משקל מיוחד </w:t>
      </w:r>
      <w:r>
        <w:rPr>
          <w:rFonts w:ascii="David" w:hAnsi="David"/>
          <w:rtl w:val="true"/>
        </w:rPr>
        <w:t xml:space="preserve">לחומרה </w:t>
      </w:r>
      <w:r>
        <w:rPr>
          <w:rFonts w:ascii="David" w:hAnsi="David"/>
          <w:rtl w:val="true"/>
        </w:rPr>
        <w:t xml:space="preserve">להרשעתו האחרונה מחודש דצמבר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 עבירות של אלימות כלפי גרושתו ואם ילדיו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במספר א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רועים ותוך הפרת צווים של בית משפט שנועדו להגן על גרושתו ממנו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שכולל בתוכו העתק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הטיעונים לעונש וגזר הדין של בית המשפט השלום ברמלה לגבי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עב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רות</w:t>
      </w:r>
      <w:r>
        <w:rPr>
          <w:rFonts w:ascii="David" w:hAnsi="David"/>
          <w:rtl w:val="true"/>
        </w:rPr>
        <w:t xml:space="preserve"> שביצע </w:t>
      </w:r>
      <w:r>
        <w:rPr>
          <w:rFonts w:ascii="David" w:hAnsi="David"/>
          <w:rtl w:val="true"/>
        </w:rPr>
        <w:t>כלפי גרושתו ואם ילדיו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</w:t>
      </w:r>
      <w:r>
        <w:rPr>
          <w:rFonts w:ascii="David" w:hAnsi="David"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העובדה שהנאשם אב ל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ילדים 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רכים בשנים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שפרנסתם עליו והוא </w:t>
      </w:r>
      <w:r>
        <w:rPr>
          <w:rFonts w:ascii="David" w:hAnsi="David"/>
          <w:rtl w:val="true"/>
        </w:rPr>
        <w:t>מנותק מהם מזה תקופה ממושכ</w:t>
      </w:r>
      <w:r>
        <w:rPr>
          <w:rFonts w:ascii="David" w:hAnsi="David"/>
          <w:rtl w:val="true"/>
        </w:rPr>
        <w:t>ת לאור מעצרו עד לתום ההליכים בתיק הנוכחי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לקולא גם את העובדה שהוא מקבל קצבת נכות מהמוסד לביטוח לאומי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לגבי המאסר המותנה שתלוי ועומד כנגד</w:t>
      </w:r>
      <w:r>
        <w:rPr>
          <w:rFonts w:ascii="David" w:hAnsi="David"/>
          <w:rtl w:val="true"/>
        </w:rPr>
        <w:t xml:space="preserve">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הכלל הוא שיש להפעיל את המאסר המותנה במצטבר ולא בחופף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22.2.15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ושונים</w:t>
      </w:r>
      <w:r>
        <w:rPr>
          <w:rtl w:val="true"/>
        </w:rPr>
        <w:t xml:space="preserve">,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4.6.15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הנני מפעיל את המאסר המותנה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שהושת עליו 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23991-02-22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 ידי בית המשפט השלום ברמלה ביום </w:t>
      </w:r>
      <w:r>
        <w:rPr>
          <w:rFonts w:cs="David" w:ascii="David" w:hAnsi="David"/>
        </w:rPr>
        <w:t>8.12.22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במצטבר לעונש שהושת עליו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b/>
          <w:b/>
          <w:bCs/>
          <w:rtl w:val="true"/>
        </w:rPr>
        <w:t>סך הכל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הנאשם ירצה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בניכוי ימי מעצרו מיום </w:t>
      </w:r>
      <w:r>
        <w:rPr>
          <w:rFonts w:cs="David" w:ascii="David" w:hAnsi="David"/>
          <w:b/>
          <w:bCs/>
        </w:rPr>
        <w:t>25.12.23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ועד 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 הנאשם לא יבצע עבירת 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ישלם פיצוי למתלוננת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עדת תביעה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בסך של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התשלום יבוצע בשלושה תשלומים חודשיים שווים ורצופים כאשר הראשון שבהם עד ליום </w:t>
      </w:r>
      <w:r>
        <w:rPr>
          <w:rFonts w:cs="David" w:ascii="David" w:hAnsi="David"/>
        </w:rPr>
        <w:t>1.12.24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בראשון 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יעמוד מלוא סכום הפיצוי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תרומתו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 שו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ים ורצופים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אשר הראשון </w:t>
      </w:r>
      <w:r>
        <w:rPr>
          <w:rFonts w:ascii="David" w:hAnsi="David"/>
          <w:rtl w:val="true"/>
        </w:rPr>
        <w:t xml:space="preserve">שבהם </w:t>
      </w:r>
      <w:r>
        <w:rPr>
          <w:rFonts w:ascii="David" w:hAnsi="David"/>
          <w:rtl w:val="true"/>
        </w:rPr>
        <w:t>עד 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1.1.25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בראשון לכל חודש 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אזי יעמוד </w:t>
      </w:r>
      <w:r>
        <w:rPr>
          <w:rFonts w:ascii="David" w:hAnsi="David"/>
          <w:rtl w:val="true"/>
        </w:rPr>
        <w:t xml:space="preserve">מלוא </w:t>
      </w:r>
      <w:r>
        <w:rPr>
          <w:rFonts w:ascii="David" w:hAnsi="David"/>
          <w:rtl w:val="true"/>
        </w:rPr>
        <w:t>סכום הקנס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1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 אלול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ספטמבר </w:t>
      </w:r>
      <w:r>
        <w:rPr>
          <w:rFonts w:cs="David" w:ascii="David" w:hAnsi="David"/>
          <w:b/>
          <w:bCs/>
        </w:rPr>
        <w:t>2024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במעמד הצדדים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1"/>
      <w:r>
        <w:rPr>
          <w:rFonts w:cs="David" w:ascii="David" w:hAnsi="David"/>
          <w:b/>
          <w:bCs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start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60257-12-23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אריאל קורן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82.b" TargetMode="External"/><Relationship Id="rId4" Type="http://schemas.openxmlformats.org/officeDocument/2006/relationships/hyperlink" Target="http://www.nevo.co.il/law/70301/382.c" TargetMode="External"/><Relationship Id="rId5" Type="http://schemas.openxmlformats.org/officeDocument/2006/relationships/hyperlink" Target="http://www.nevo.co.il/law/71835" TargetMode="External"/><Relationship Id="rId6" Type="http://schemas.openxmlformats.org/officeDocument/2006/relationships/hyperlink" Target="http://www.nevo.co.il/law/71835/18" TargetMode="External"/><Relationship Id="rId7" Type="http://schemas.openxmlformats.org/officeDocument/2006/relationships/hyperlink" Target="http://www.nevo.co.il/law/70301/382.c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82.b" TargetMode="External"/><Relationship Id="rId10" Type="http://schemas.openxmlformats.org/officeDocument/2006/relationships/hyperlink" Target="http://www.nevo.co.il/law/71835/18" TargetMode="External"/><Relationship Id="rId11" Type="http://schemas.openxmlformats.org/officeDocument/2006/relationships/hyperlink" Target="http://www.nevo.co.il/law/71835" TargetMode="External"/><Relationship Id="rId12" Type="http://schemas.openxmlformats.org/officeDocument/2006/relationships/hyperlink" Target="http://www.nevo.co.il/case/30706197" TargetMode="External"/><Relationship Id="rId13" Type="http://schemas.openxmlformats.org/officeDocument/2006/relationships/hyperlink" Target="http://www.nevo.co.il/case/29220070" TargetMode="External"/><Relationship Id="rId14" Type="http://schemas.openxmlformats.org/officeDocument/2006/relationships/hyperlink" Target="http://www.nevo.co.il/case/20945724" TargetMode="External"/><Relationship Id="rId15" Type="http://schemas.openxmlformats.org/officeDocument/2006/relationships/hyperlink" Target="http://www.nevo.co.il/case/18654248" TargetMode="External"/><Relationship Id="rId16" Type="http://schemas.openxmlformats.org/officeDocument/2006/relationships/hyperlink" Target="http://www.nevo.co.il/case/20060571" TargetMode="External"/><Relationship Id="rId17" Type="http://schemas.openxmlformats.org/officeDocument/2006/relationships/hyperlink" Target="http://www.nevo.co.il/case/28308492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2024-09-29T08:22:00Z</dcterms:created>
  <dc:creator> </dc:creator>
  <dc:description/>
  <cp:keywords/>
  <dc:language>en-IL</dc:language>
  <cp:lastModifiedBy>h1</cp:lastModifiedBy>
  <dcterms:modified xsi:type="dcterms:W3CDTF">2024-09-29T08:22:00Z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אריאל קורן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30706197;29220070;20945724;18654248;20060571;28308492</vt:lpwstr>
  </property>
  <property fmtid="{D5CDD505-2E9C-101B-9397-08002B2CF9AE}" pid="9" name="CITY">
    <vt:lpwstr>רמ'</vt:lpwstr>
  </property>
  <property fmtid="{D5CDD505-2E9C-101B-9397-08002B2CF9AE}" pid="10" name="DATE">
    <vt:lpwstr>20240924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70301/382.c;382.b</vt:lpwstr>
  </property>
  <property fmtid="{D5CDD505-2E9C-101B-9397-08002B2CF9AE}" pid="15" name="LAWLISTTMP2">
    <vt:lpwstr>71835/018</vt:lpwstr>
  </property>
  <property fmtid="{D5CDD505-2E9C-101B-9397-08002B2CF9AE}" pid="16" name="LAWYER">
    <vt:lpwstr>הילה כהן;אנג'ליקה שרה סדיקוב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60257</vt:lpwstr>
  </property>
  <property fmtid="{D5CDD505-2E9C-101B-9397-08002B2CF9AE}" pid="23" name="NEWPARTB">
    <vt:lpwstr>12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380020240924</vt:lpwstr>
  </property>
  <property fmtid="{D5CDD505-2E9C-101B-9397-08002B2CF9AE}" pid="35" name="TYPE_N_DATE">
    <vt:lpwstr>38020240924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