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6089-07-14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בתילו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ברנט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18"/>
                <w:szCs w:val="18"/>
              </w:rPr>
            </w:pPr>
            <w:r>
              <w:rPr>
                <w:rFonts w:cs="FrankRuehl" w:ascii="Arial" w:hAnsi="Arial"/>
                <w:b/>
                <w:bCs/>
                <w:sz w:val="18"/>
                <w:szCs w:val="1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בהג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בתילו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FrankRuehl"/>
          <w:sz w:val="2"/>
          <w:szCs w:val="2"/>
        </w:rPr>
      </w:pPr>
      <w:r>
        <w:rPr>
          <w:rFonts w:cs="FrankRuehl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נוכחים</w:t>
      </w:r>
      <w:r>
        <w:rPr>
          <w:rFonts w:cs="FrankRuehl"/>
          <w:sz w:val="28"/>
          <w:szCs w:val="28"/>
          <w:rtl w:val="true"/>
        </w:rPr>
        <w:t xml:space="preserve">: </w:t>
      </w:r>
      <w:bookmarkStart w:id="2" w:name="FirstLawyer"/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bookmarkEnd w:id="2"/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ביילין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ענבוסי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/>
          <w:sz w:val="28"/>
          <w:sz w:val="28"/>
          <w:szCs w:val="28"/>
          <w:rtl w:val="true"/>
        </w:rPr>
        <w:t>ס</w:t>
      </w:r>
    </w:p>
    <w:p>
      <w:pPr>
        <w:pStyle w:val="Normal"/>
        <w:spacing w:lineRule="auto" w:line="360"/>
        <w:ind w:end="0"/>
        <w:jc w:val="center"/>
        <w:rPr>
          <w:rFonts w:ascii="Arial" w:hAnsi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FrankRuehl"/>
          <w:b/>
          <w:b/>
          <w:bCs/>
          <w:sz w:val="28"/>
          <w:sz w:val="28"/>
          <w:szCs w:val="28"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טיעון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יסוד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הודאתו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בעובדות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המתוקן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לרכישת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144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 xml:space="preserve"> (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בצירוף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31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התשל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ז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1977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לנשיאת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144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 xml:space="preserve"> (</w:t>
        </w:r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Arial" w:hAnsi="Arial"/>
            <w:sz w:val="28"/>
            <w:szCs w:val="28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ריישא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בצירוף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ascii="Arial" w:hAnsi="Aria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Arial" w:hAnsi="Arial" w:eastAsia="Arial" w:cs="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Arial" w:hAnsi="Arial"/>
            <w:sz w:val="28"/>
            <w:szCs w:val="28"/>
          </w:rPr>
          <w:t>31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>2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עובדות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כתב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21.6.14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בסמוך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22:00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בכפר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חרבתא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שריתח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להלן</w:t>
      </w:r>
      <w:r>
        <w:rPr>
          <w:rFonts w:cs="FrankRuehl" w:ascii="Arial" w:hAnsi="Arial"/>
          <w:sz w:val="28"/>
          <w:szCs w:val="28"/>
          <w:rtl w:val="true"/>
        </w:rPr>
        <w:t>: "</w:t>
      </w:r>
      <w:r>
        <w:rPr>
          <w:rFonts w:ascii="Arial" w:hAnsi="Arial" w:cs="FrankRuehl"/>
          <w:sz w:val="28"/>
          <w:sz w:val="28"/>
          <w:szCs w:val="28"/>
          <w:rtl w:val="true"/>
        </w:rPr>
        <w:t>אובי</w:t>
      </w:r>
      <w:r>
        <w:rPr>
          <w:rFonts w:cs="FrankRuehl" w:ascii="Arial" w:hAnsi="Arial"/>
          <w:sz w:val="28"/>
          <w:szCs w:val="28"/>
          <w:rtl w:val="true"/>
        </w:rPr>
        <w:t xml:space="preserve">") </w:t>
      </w:r>
      <w:r>
        <w:rPr>
          <w:rFonts w:ascii="Arial" w:hAnsi="Arial" w:cs="FrankRuehl"/>
          <w:sz w:val="28"/>
          <w:sz w:val="28"/>
          <w:szCs w:val="28"/>
          <w:rtl w:val="true"/>
        </w:rPr>
        <w:t>ושניים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נוספים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אובי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וביקש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יסייע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להשיג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למטרת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ירי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בזמן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חתונות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וחאפלות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יצר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טלפוני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במטרה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להשיג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מבוקשו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ולהוציא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עסקת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הפועל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לנעלין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סובארו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קארל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גוסטב</w:t>
      </w:r>
      <w:r>
        <w:rPr>
          <w:rFonts w:cs="FrankRuehl"/>
          <w:sz w:val="28"/>
          <w:szCs w:val="28"/>
          <w:rtl w:val="true"/>
        </w:rPr>
        <w:t xml:space="preserve">" , </w:t>
      </w:r>
      <w:r>
        <w:rPr>
          <w:rFonts w:cs="FrankRuehl"/>
          <w:sz w:val="28"/>
          <w:sz w:val="28"/>
          <w:szCs w:val="28"/>
          <w:rtl w:val="true"/>
        </w:rPr>
        <w:t>בתוכו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בתפזורת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FrankRueh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הגיש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לבית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גיליון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הרישום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הפלילי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ועתר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להשית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תנאי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וקנס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לשיטתו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ההולם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9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חודשים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לבין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20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ויש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לגזור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עונשו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ברף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הגבוה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במתחם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"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המאשימה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טען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מדובר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שהערך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המוגן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בהן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הינו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שלום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הציבור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ובטחונו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העליון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עומד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תדיר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חומרתן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עבירות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הנשק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פוטנציאל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הסכנה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הטמונה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בהן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וקובע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פעם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אחר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פעם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להטיל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עונשים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חמורים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מעשיו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מצדיקים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ענישה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מרתיעה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לאור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העובדה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שותף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לתכנון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שקדם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לביצוע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והיה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צמוד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בכל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שלבי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ביצוע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למבצע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העיקרי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וללא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יכולתו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וקשריו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העסקה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הייתה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יוצאת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הפועל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בשנת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2006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בהסעת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שב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"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ובהחזקת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חשוד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כגנוב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ובעבר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אף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בשוד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מזוין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בגינו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נדון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למאסר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הפנה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"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המאשימה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למספר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פסקי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דין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מהם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לטעמו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ניתן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לקבוע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המבוקש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hyperlink r:id="rId13"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ascii="Arial" w:hAnsi="Arial"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Arial"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ascii="Arial" w:hAnsi="Arial" w:cs="FrankRuehl"/>
            <w:color w:val="0000FF"/>
            <w:sz w:val="28"/>
            <w:szCs w:val="28"/>
            <w:u w:val="single"/>
          </w:rPr>
          <w:t>5677/12</w:t>
        </w:r>
      </w:hyperlink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מרעי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מג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'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נגד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מדינת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ישראל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נגזרו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24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נשיאת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בצוותא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hyperlink r:id="rId14"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ascii="Arial" w:hAnsi="Arial"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Arial"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Cs w:val="28"/>
            <w:u w:val="single"/>
          </w:rPr>
          <w:t>2892/13</w:t>
        </w:r>
      </w:hyperlink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מוחמד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עודתאללה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נגד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מדינת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ישראל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נדון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-</w:t>
      </w:r>
      <w:r>
        <w:rPr>
          <w:rStyle w:val="LineNumber"/>
          <w:rFonts w:cs="FrankRuehl" w:ascii="David" w:hAnsi="David"/>
          <w:sz w:val="28"/>
          <w:szCs w:val="28"/>
        </w:rPr>
        <w:t>21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לאחר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שהורשע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נשיאה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והובלה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כדין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והסתייעות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ברכב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לביצוע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פשע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אובי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נגזרו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10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אלא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שלשיטת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"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המאשימה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לאבחן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הנאשמים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באשר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אובי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21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ונעדר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עבר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פלילי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עבד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לאורך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השנים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ותפקד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באורך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נורמטיבי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המשפט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בעניינו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ציין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שהוא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מתרשם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מצעיר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הנעדר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דפוסי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עבריינות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מחלוקת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לעניין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הערך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החברתי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שנפגע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אך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מדיניות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הנהוגה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מספר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חודשים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בודדים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18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חודשים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כאשר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בדרך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כלל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הנטייה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להטיל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עבודות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קצר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ורק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במקרים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חריגים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המושת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הינו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"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הפנה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ascii="Arial" w:hAnsi="Arial"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Arial"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Cs w:val="28"/>
            <w:u w:val="single"/>
          </w:rPr>
          <w:t>15376-06-13</w:t>
        </w:r>
      </w:hyperlink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מדינת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ישראל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נגד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אלמוגי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שניתן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ידי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כב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הנשיא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השופט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טל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חמורות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יותר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נשיאת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ותחמושת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מעשה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פזיזות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ורשלנות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ירי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באזור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מגורים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כאשר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מספר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רב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יריות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נורו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לכיוון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המתלונן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ידי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שנקבע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12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18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בסופו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יום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הוטל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עונש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"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ציין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באותו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תיק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דובר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המוגמרת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ולא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בעבירת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הסיוע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שעונשה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מחצית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בנוסף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הוגש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גזר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דינו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השותף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שביצע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המושלמת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אשר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נדון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- </w:t>
      </w:r>
      <w:r>
        <w:rPr>
          <w:rStyle w:val="LineNumber"/>
          <w:rFonts w:cs="FrankRuehl" w:ascii="David" w:hAnsi="David"/>
          <w:sz w:val="28"/>
          <w:szCs w:val="28"/>
        </w:rPr>
        <w:t>10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ככל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שהדבר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נוגע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לנסיבות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הקשורות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לביצוע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טען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"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קרוב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לסייג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אחריות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פלילית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הגיש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חווה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"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הפסיכיאטרית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שנערכה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בעניינו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וטען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מדובר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המוכר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למערכת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הפסיכיאטרית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מאשפוזים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רבים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במספר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רב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בתי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חולים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חלקם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האשפוזים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כפויים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אובחן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כסובל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מסכיזופרניה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פרנואידית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אח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נוסף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סובל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מסכיזופרניה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ושלישי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במצב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פסיכוטי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מספר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פעמים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נקב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אינו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כשיר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לעמוד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לדין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שתי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הרשעותיו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הקודמות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התיישנו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אך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טרם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נמחקו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ואין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לאותן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הרשעות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נגיעה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לנושא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"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עתר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לקביעת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מספר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שניתן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לרצות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בעבודות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- </w:t>
      </w:r>
      <w:r>
        <w:rPr>
          <w:rStyle w:val="LineNumber"/>
          <w:rFonts w:cs="FrankRuehl" w:ascii="David" w:hAnsi="David"/>
          <w:sz w:val="28"/>
          <w:szCs w:val="28"/>
        </w:rPr>
        <w:t>18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שזה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מושלמת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ולא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לעבירת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הסיוע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כשהמתחם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לסיוע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מחצית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לעניין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קביעה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בתוך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מדובר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שבנוסף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למחלתו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הנפשית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נסיבותיו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האישיות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מיוחדות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: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הבכור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מבין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7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ילדים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כאשר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שניים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מאחיו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סובלים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מבעיות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נפשיות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בגין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10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נשר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מהלימודים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מצוקה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כלכלית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והחל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לעבוד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בעבודות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מזדמנות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כמו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עוזר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טבח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ומלצר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מנת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לעזור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לפרנסת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המשפחה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לפני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מספר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התחתן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נולד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ילד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שהיום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3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ולפני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שנתיים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התגרש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מאשתו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מקבל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קצבת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נכות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מביטוח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לאומי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המאסר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והמעצר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פוגעים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קשות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והן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במשפחתו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שכן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מתגורר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ביחד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אמו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ועוזר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בפרנסת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הבית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ומאז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מעצרו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ראה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ילדו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לקח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אחריות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הודה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וחסך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זמן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שיפוטי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יקר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טען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מקבל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הטיפול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הפסיכיאטרי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בכלא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בזריקות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וכשיצא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מבית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הסוהר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ימשיך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הטיפול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בבית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חולים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'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כפר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שאול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'.</w:t>
      </w:r>
    </w:p>
    <w:p>
      <w:pPr>
        <w:pStyle w:val="Normal"/>
        <w:spacing w:lineRule="auto" w:line="360"/>
        <w:ind w:end="0"/>
        <w:jc w:val="both"/>
        <w:rPr>
          <w:rStyle w:val="LineNumber"/>
          <w:rFonts w:ascii="David" w:hAnsi="David" w:cs="FrankRuehl"/>
          <w:b/>
          <w:bCs/>
          <w:sz w:val="28"/>
          <w:szCs w:val="28"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rFonts w:ascii="David" w:hAnsi="David" w:cs="FrankRuehl"/>
          <w:b/>
          <w:bCs/>
          <w:sz w:val="28"/>
          <w:szCs w:val="28"/>
          <w:u w:val="single"/>
        </w:rPr>
      </w:pPr>
      <w:r>
        <w:rPr>
          <w:rStyle w:val="LineNumber"/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Style w:val="LineNumber"/>
          <w:rFonts w:ascii="David" w:hAnsi="David" w:eastAsia="David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LineNumber"/>
          <w:rFonts w:ascii="David" w:hAnsi="David" w:cs="FrankRuehl"/>
          <w:b/>
          <w:b/>
          <w:bCs/>
          <w:sz w:val="28"/>
          <w:sz w:val="28"/>
          <w:szCs w:val="28"/>
          <w:u w:val="single"/>
          <w:rtl w:val="true"/>
        </w:rPr>
        <w:t>והכרעה</w:t>
      </w:r>
      <w:r>
        <w:rPr>
          <w:rStyle w:val="LineNumber"/>
          <w:rFonts w:cs="FrankRuehl" w:ascii="David" w:hAnsi="David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Style w:val="LineNumber"/>
          <w:rFonts w:ascii="David" w:hAnsi="David" w:cs="FrankRuehl"/>
          <w:sz w:val="28"/>
          <w:szCs w:val="28"/>
          <w:u w:val="single"/>
        </w:rPr>
      </w:pPr>
      <w:r>
        <w:rPr>
          <w:rStyle w:val="LineNumber"/>
          <w:rFonts w:ascii="David" w:hAnsi="David" w:cs="FrankRuehl"/>
          <w:sz w:val="28"/>
          <w:sz w:val="28"/>
          <w:szCs w:val="28"/>
          <w:u w:val="single"/>
          <w:rtl w:val="true"/>
        </w:rPr>
        <w:t>מתחם</w:t>
      </w:r>
      <w:r>
        <w:rPr>
          <w:rStyle w:val="LineNumber"/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u w:val="single"/>
          <w:rtl w:val="true"/>
        </w:rPr>
        <w:t>העונש</w:t>
      </w:r>
      <w:r>
        <w:rPr>
          <w:rStyle w:val="LineNumber"/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u w:val="single"/>
          <w:rtl w:val="true"/>
        </w:rPr>
        <w:t>ההולם</w:t>
      </w:r>
      <w:r>
        <w:rPr>
          <w:rStyle w:val="LineNumber"/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u w:val="single"/>
          <w:rtl w:val="true"/>
        </w:rPr>
        <w:t>–</w:t>
      </w:r>
      <w:r>
        <w:rPr>
          <w:rStyle w:val="LineNumber"/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u w:val="single"/>
          <w:rtl w:val="true"/>
        </w:rPr>
        <w:t>סיוע</w:t>
      </w:r>
      <w:r>
        <w:rPr>
          <w:rStyle w:val="LineNumber"/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u w:val="single"/>
          <w:rtl w:val="true"/>
        </w:rPr>
        <w:t>לדבר</w:t>
      </w:r>
      <w:r>
        <w:rPr>
          <w:rStyle w:val="LineNumber"/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u w:val="single"/>
          <w:rtl w:val="true"/>
        </w:rPr>
        <w:t>עבירה</w:t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cs="FrankRuehl" w:ascii="David" w:hAnsi="David"/>
          <w:sz w:val="28"/>
          <w:szCs w:val="28"/>
        </w:rPr>
        <w:t>6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  <w:tab/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"[...]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כידוע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תרומתו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המסייע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עקיפה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ומשנית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משום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שאין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נוטל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חלק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בביצוע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העיקרי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ואין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הוא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אלא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שותף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זוטר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למבצע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העיקרי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(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"</w:t>
      </w:r>
      <w:hyperlink r:id="rId16"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Arial"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Cs w:val="28"/>
            <w:u w:val="single"/>
          </w:rPr>
          <w:t>320/99</w:t>
        </w:r>
        <w:r>
          <w:rPr>
            <w:rStyle w:val="Hyperlink"/>
            <w:rFonts w:ascii="Arial" w:hAnsi="Arial"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פלונית</w:t>
        </w:r>
        <w:r>
          <w:rPr>
            <w:rStyle w:val="Hyperlink"/>
            <w:rFonts w:cs="Arial"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ascii="Arial" w:hAnsi="Arial"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cs="Arial"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" w:hAnsi="Arial"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Arial"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Style w:val="LineNumber"/>
          <w:rFonts w:cs="FrankRuehl" w:ascii="David" w:hAnsi="David"/>
          <w:sz w:val="28"/>
          <w:szCs w:val="28"/>
          <w:rtl w:val="true"/>
        </w:rPr>
        <w:t>(</w:t>
      </w:r>
      <w:r>
        <w:rPr>
          <w:rStyle w:val="LineNumber"/>
          <w:rFonts w:cs="FrankRuehl" w:ascii="David" w:hAnsi="David"/>
          <w:sz w:val="28"/>
          <w:szCs w:val="28"/>
        </w:rPr>
        <w:t>3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Style w:val="LineNumber"/>
          <w:rFonts w:cs="FrankRuehl" w:ascii="David" w:hAnsi="David"/>
          <w:sz w:val="28"/>
          <w:szCs w:val="28"/>
        </w:rPr>
        <w:t>22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cs="FrankRuehl" w:ascii="David" w:hAnsi="David"/>
          <w:sz w:val="28"/>
          <w:szCs w:val="28"/>
        </w:rPr>
        <w:t>34-33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(</w:t>
      </w:r>
      <w:r>
        <w:rPr>
          <w:rStyle w:val="LineNumber"/>
          <w:rFonts w:cs="FrankRuehl" w:ascii="David" w:hAnsi="David"/>
          <w:sz w:val="28"/>
          <w:szCs w:val="28"/>
        </w:rPr>
        <w:t>2001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)). </w:t>
      </w:r>
      <w:hyperlink r:id="rId17">
        <w:r>
          <w:rPr>
            <w:rStyle w:val="Hyperlink"/>
            <w:rFonts w:ascii="David" w:hAnsi="David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David" w:hAnsi="David" w:eastAsia="Davi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David" w:hAnsi="David"/>
            <w:sz w:val="28"/>
            <w:szCs w:val="28"/>
          </w:rPr>
          <w:t>40</w:t>
        </w:r>
        <w:r>
          <w:rPr>
            <w:rStyle w:val="Hyperlink"/>
            <w:rFonts w:ascii="David" w:hAnsi="David" w:cs="FrankRuehl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 w:ascii="David" w:hAnsi="David"/>
            <w:sz w:val="28"/>
            <w:szCs w:val="28"/>
            <w:rtl w:val="true"/>
          </w:rPr>
          <w:t>(</w:t>
        </w:r>
        <w:r>
          <w:rPr>
            <w:rStyle w:val="Hyperlink"/>
            <w:rFonts w:ascii="David" w:hAnsi="David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David" w:hAnsi="David"/>
            <w:sz w:val="28"/>
            <w:szCs w:val="28"/>
            <w:rtl w:val="true"/>
          </w:rPr>
          <w:t>)</w:t>
        </w:r>
      </w:hyperlink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Arial"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מונה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רשימה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פתוחה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נסיבות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שיש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להתחשב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בהן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לעניין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קביעת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ההולם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העומדת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לדיון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הנסיבות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המנויות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בסעיף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זה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נשקלות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בשינויים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המחויבים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גם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כשמדובר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בעבירת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סיוע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שהיא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כאמור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העומדת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לעצמה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השונה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במאפייניה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ופחותה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בחומרתה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מהעבירה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העיקרית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מבלי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למצות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עבירת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סיוע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ייגזר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מהנסיבות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הבאות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: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מדובר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בסיוע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במעשה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סיוע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במחדל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;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הסיוע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קדם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לביצוע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העיקרית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(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סיוע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בתכנון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סיוע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שניתן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בעת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ביצועה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העיקרית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;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מידת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תרומתו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הסיוע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לביצוע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העיקרית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;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תרומת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הסיוע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לנזק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שהיה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צפוי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להיגרם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ולנזק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שנגרם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;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יכולתו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להבין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שהוא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עושה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הפסול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במעשהו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משמעותו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לרבות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גילו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ועוד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..." (</w:t>
      </w:r>
      <w:hyperlink r:id="rId19"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ascii="Arial" w:hAnsi="Arial"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Arial"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FrankRuehl"/>
            <w:color w:val="0000FF"/>
            <w:sz w:val="28"/>
            <w:szCs w:val="28"/>
            <w:u w:val="single"/>
          </w:rPr>
          <w:t>5214/13</w:t>
        </w:r>
      </w:hyperlink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מחמוד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סירחאן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מדינת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ישראל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[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פורסם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בנבו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] (</w:t>
      </w:r>
      <w:r>
        <w:rPr>
          <w:rStyle w:val="LineNumber"/>
          <w:rFonts w:cs="FrankRuehl" w:ascii="David" w:hAnsi="David"/>
          <w:sz w:val="28"/>
          <w:szCs w:val="28"/>
        </w:rPr>
        <w:t>30.12.2013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העבירות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בהן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הורשע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חמורות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רבות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נאמר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אודות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המסוכנות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הרבה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הטמונה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בעבירות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ובמקרה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דנן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סייע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במעשיו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לרכוש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ולשאת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ארוך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ותחמושת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שהשימוש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בהם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עלול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להסב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פציעה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ואף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מוות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גילה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במעשיו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נגישות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מיידית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לכלי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נשק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ולתחמושת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וסייע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למכרם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תמורת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בצע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כסף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ותרומתו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להשלמת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מעשה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היתה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קריטית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cs="FrankRuehl" w:ascii="David" w:hAnsi="David"/>
          <w:sz w:val="28"/>
          <w:szCs w:val="28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cs="FrankRuehl" w:ascii="David" w:hAnsi="David"/>
          <w:sz w:val="28"/>
          <w:szCs w:val="28"/>
          <w:rtl w:val="true"/>
        </w:rPr>
        <w:tab/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זאת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נסיבה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רלבנטית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נוספת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לקביעת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המתחם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העובדה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מודע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לכך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שמטרת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רכישת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הנשק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הינה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לעשיית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שימוש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במסגרת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"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ירי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בחתונות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",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ולא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לעשיית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שימוש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פלילי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וכן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להתחשב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בכך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שהנשק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נתפס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בסופו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יום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ידי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המשטרה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cs="FrankRuehl" w:ascii="David" w:hAnsi="David"/>
          <w:sz w:val="28"/>
          <w:szCs w:val="28"/>
        </w:rPr>
        <w:t>7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  <w:tab/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רמת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המוגמרת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כפי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שנסקרה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בפסיקה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שהוזכרה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לעיל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נעה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בטווח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שבין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12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-</w:t>
      </w:r>
      <w:r>
        <w:rPr>
          <w:rStyle w:val="LineNumber"/>
          <w:rFonts w:cs="FrankRuehl" w:ascii="David" w:hAnsi="David"/>
          <w:sz w:val="28"/>
          <w:szCs w:val="28"/>
        </w:rPr>
        <w:t>36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המוגמרת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בעניינו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אובי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קבע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משפט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זה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(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כבוד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השופטת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מרוז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)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10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-</w:t>
      </w:r>
      <w:r>
        <w:rPr>
          <w:rStyle w:val="LineNumber"/>
          <w:rFonts w:cs="FrankRuehl" w:ascii="David" w:hAnsi="David"/>
          <w:sz w:val="28"/>
          <w:szCs w:val="28"/>
        </w:rPr>
        <w:t>36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בפועל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בגין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המוגמרת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גם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כן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cs="FrankRuehl" w:ascii="David" w:hAnsi="David"/>
          <w:sz w:val="28"/>
          <w:szCs w:val="28"/>
          <w:rtl w:val="true"/>
        </w:rPr>
        <w:tab/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העונש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הקבוע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לצידה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עבירת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רכישת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הנשק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הינו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שבע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שנים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והעונש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הקבוע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לצידה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עבירת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נשיאת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הנשק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הינו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עשר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שנים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ומכאן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בהתאם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להוראות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ascii="David" w:hAnsi="David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David" w:hAnsi="David" w:eastAsia="Davi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David" w:hAnsi="David"/>
            <w:sz w:val="28"/>
            <w:szCs w:val="28"/>
          </w:rPr>
          <w:t>32</w:t>
        </w:r>
      </w:hyperlink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Arial" w:ascii="David" w:hAnsi="David" w:eastAsia="Davi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Arial" w:ascii="David" w:hAnsi="David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עונשו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המסייע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הינו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מחצית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מעונשים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אלה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Style w:val="LineNumber"/>
          <w:rFonts w:cs="FrankRuehl" w:ascii="David" w:hAnsi="David"/>
          <w:sz w:val="28"/>
          <w:szCs w:val="28"/>
        </w:rPr>
        <w:t>8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. </w:t>
        <w:tab/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בהתחשב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בכל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אלה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באתי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לכלל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מסקנה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כי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מתחם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הענישה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למעשה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העבירה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דנן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נע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בין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sz w:val="28"/>
          <w:szCs w:val="28"/>
        </w:rPr>
        <w:t>6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ל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-</w:t>
      </w:r>
      <w:r>
        <w:rPr>
          <w:rStyle w:val="LineNumber"/>
          <w:rFonts w:cs="FrankRuehl" w:ascii="David" w:hAnsi="David"/>
          <w:sz w:val="28"/>
          <w:szCs w:val="28"/>
        </w:rPr>
        <w:t>18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חודשי</w:t>
      </w:r>
      <w:r>
        <w:rPr>
          <w:rStyle w:val="LineNumber"/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cs="FrankRuehl" w:ascii="David" w:hAnsi="David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David" w:hAnsi="David" w:cs="FrankRuehl"/>
          <w:sz w:val="28"/>
          <w:szCs w:val="28"/>
          <w:u w:val="single"/>
        </w:rPr>
      </w:pPr>
      <w:r>
        <w:rPr>
          <w:rStyle w:val="LineNumber"/>
          <w:rFonts w:ascii="David" w:hAnsi="David" w:cs="FrankRuehl"/>
          <w:sz w:val="28"/>
          <w:sz w:val="28"/>
          <w:szCs w:val="28"/>
          <w:u w:val="single"/>
          <w:rtl w:val="true"/>
        </w:rPr>
        <w:t>קביעת</w:t>
      </w:r>
      <w:r>
        <w:rPr>
          <w:rStyle w:val="LineNumber"/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u w:val="single"/>
          <w:rtl w:val="true"/>
        </w:rPr>
        <w:t>העונש</w:t>
      </w:r>
      <w:r>
        <w:rPr>
          <w:rStyle w:val="LineNumber"/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u w:val="single"/>
          <w:rtl w:val="true"/>
        </w:rPr>
        <w:t>ההולם</w:t>
      </w:r>
      <w:r>
        <w:rPr>
          <w:rStyle w:val="LineNumber"/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u w:val="single"/>
          <w:rtl w:val="true"/>
        </w:rPr>
        <w:t>בתוך</w:t>
      </w:r>
      <w:r>
        <w:rPr>
          <w:rStyle w:val="LineNumber"/>
          <w:rFonts w:ascii="David" w:hAnsi="David" w:eastAsia="David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LineNumber"/>
          <w:rFonts w:ascii="David" w:hAnsi="David" w:cs="FrankRuehl"/>
          <w:sz w:val="28"/>
          <w:sz w:val="28"/>
          <w:szCs w:val="28"/>
          <w:u w:val="single"/>
          <w:rtl w:val="true"/>
        </w:rPr>
        <w:t>המתחם</w:t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Calibri" w:hAnsi="Calibri" w:cs="FrankRuehl"/>
          <w:sz w:val="28"/>
          <w:szCs w:val="28"/>
        </w:rPr>
      </w:pPr>
      <w:r>
        <w:rPr>
          <w:rStyle w:val="LineNumber"/>
          <w:rFonts w:cs="FrankRuehl" w:ascii="David" w:hAnsi="David"/>
          <w:sz w:val="28"/>
          <w:szCs w:val="28"/>
        </w:rPr>
        <w:t>9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>.</w:t>
        <w:tab/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בבואי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לקבוע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עונשו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בתוך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המתחם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עליי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להתחשב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בנסיבותיו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האישיות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כפי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שפורטו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בהרחבה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בא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כוחו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ובכלל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זה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במצבו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הנפשי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האישי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והמשפחתי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מצאתי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להתחשב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בהודאתו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ובלקיחת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האחריות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מצידו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Calibri" w:hAnsi="Calibri" w:cs="FrankRuehl"/>
          <w:sz w:val="22"/>
          <w:szCs w:val="22"/>
        </w:rPr>
      </w:pPr>
      <w:r>
        <w:rPr>
          <w:rStyle w:val="LineNumber"/>
          <w:rFonts w:cs="FrankRuehl" w:ascii="Calibri" w:hAnsi="Calibri"/>
          <w:sz w:val="28"/>
          <w:szCs w:val="28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Calibri" w:hAnsi="Calibri" w:cs="FrankRuehl"/>
          <w:sz w:val="28"/>
          <w:szCs w:val="28"/>
        </w:rPr>
      </w:pP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כמו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כן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שקלתי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עברו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הפלילי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שאינו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מכביד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ואינו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מן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העת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האחרונה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Calibri" w:hAnsi="Calibri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Calibri" w:hAnsi="Calibri" w:cs="FrankRuehl"/>
          <w:sz w:val="28"/>
          <w:szCs w:val="28"/>
        </w:rPr>
      </w:pP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בהתחשב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בכל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אלה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ובחלקו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היחסי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במעשה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ביחס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לשותפו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אובי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עליו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נגזרו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בסופו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יום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Calibri" w:hAnsi="Calibri"/>
          <w:sz w:val="28"/>
          <w:szCs w:val="28"/>
        </w:rPr>
        <w:t>10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מצאתי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להטיל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את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העונשים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הבאים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Calibri" w:hAnsi="Calibri" w:cs="FrankRuehl"/>
          <w:sz w:val="22"/>
          <w:szCs w:val="22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Calibri" w:hAnsi="Calibri" w:cs="FrankRuehl"/>
          <w:sz w:val="28"/>
          <w:szCs w:val="28"/>
        </w:rPr>
      </w:pP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א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Style w:val="LineNumber"/>
          <w:rFonts w:cs="FrankRuehl" w:ascii="Calibri" w:hAnsi="Calibri"/>
          <w:sz w:val="28"/>
          <w:szCs w:val="28"/>
        </w:rPr>
        <w:t>8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לריצוי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בפועל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בניכוי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ימי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מעצרו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מיום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Calibri" w:hAnsi="Calibri"/>
          <w:sz w:val="28"/>
          <w:szCs w:val="28"/>
        </w:rPr>
        <w:t>22.6.2014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Calibri" w:hAnsi="Calibri" w:cs="FrankRuehl"/>
          <w:sz w:val="10"/>
          <w:szCs w:val="10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Calibri" w:hAnsi="Calibri" w:cs="FrankRuehl"/>
          <w:sz w:val="28"/>
          <w:szCs w:val="28"/>
        </w:rPr>
      </w:pP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Style w:val="LineNumber"/>
          <w:rFonts w:cs="FrankRuehl" w:ascii="Calibri" w:hAnsi="Calibri"/>
          <w:sz w:val="28"/>
          <w:szCs w:val="28"/>
        </w:rPr>
        <w:t>12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חודשי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מאסר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תנאי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והתנאי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שלא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יעבור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עבירה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בה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הורשע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משך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Calibri" w:hAnsi="Calibri"/>
          <w:sz w:val="28"/>
          <w:szCs w:val="28"/>
        </w:rPr>
        <w:t>3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שנים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מתום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ריצוי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מאסרו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Calibri" w:hAnsi="Calibri" w:cs="FrankRuehl"/>
          <w:sz w:val="6"/>
          <w:szCs w:val="6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LineNumber"/>
          <w:rFonts w:ascii="Calibri" w:hAnsi="Calibri" w:cs="FrankRuehl"/>
          <w:sz w:val="28"/>
          <w:szCs w:val="28"/>
        </w:rPr>
      </w:pP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ג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לאור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המניע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הכספי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בביצועה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העבירה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מחד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ומצבו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הכלכלי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של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מאידך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מצאתי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להסתפק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בהטלת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קנס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כספי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סמלי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בסך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Calibri" w:hAnsi="Calibri"/>
          <w:sz w:val="28"/>
          <w:szCs w:val="28"/>
        </w:rPr>
        <w:t>750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Style w:val="LineNumber"/>
          <w:rFonts w:cs="Times New Roman"/>
          <w:sz w:val="28"/>
          <w:szCs w:val="28"/>
          <w:rtl w:val="true"/>
        </w:rPr>
        <w:t>₪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,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אשר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ישולם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על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ידי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הנאשם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בשלושה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תשלומים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שווים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החל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>-</w:t>
      </w:r>
      <w:r>
        <w:rPr>
          <w:rStyle w:val="LineNumber"/>
          <w:rFonts w:cs="FrankRuehl" w:ascii="Calibri" w:hAnsi="Calibri"/>
          <w:sz w:val="28"/>
          <w:szCs w:val="28"/>
        </w:rPr>
        <w:t>30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יום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לאחר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שחרורו</w:t>
      </w:r>
      <w:r>
        <w:rPr>
          <w:rStyle w:val="LineNumber"/>
          <w:rFonts w:ascii="Calibri" w:hAnsi="Calibri" w:eastAsia="Calibri" w:cs="Calibri"/>
          <w:sz w:val="28"/>
          <w:sz w:val="28"/>
          <w:szCs w:val="28"/>
          <w:rtl w:val="true"/>
        </w:rPr>
        <w:t xml:space="preserve">  </w:t>
      </w:r>
      <w:r>
        <w:rPr>
          <w:rStyle w:val="LineNumber"/>
          <w:rFonts w:ascii="Calibri" w:hAnsi="Calibri" w:cs="FrankRuehl"/>
          <w:sz w:val="28"/>
          <w:sz w:val="28"/>
          <w:szCs w:val="28"/>
          <w:rtl w:val="true"/>
        </w:rPr>
        <w:t>ממאסר</w:t>
      </w:r>
      <w:r>
        <w:rPr>
          <w:rStyle w:val="LineNumber"/>
          <w:rFonts w:cs="FrankRuehl" w:ascii="Calibri" w:hAnsi="Calibri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  <w:rFonts w:ascii="Calibri" w:hAnsi="Calibri" w:cs="FrankRuehl"/>
          <w:sz w:val="14"/>
          <w:szCs w:val="1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rFonts w:ascii="David" w:hAnsi="David" w:cs="FrankRuehl"/>
          <w:b/>
          <w:bCs/>
          <w:sz w:val="28"/>
          <w:szCs w:val="28"/>
        </w:rPr>
      </w:pPr>
      <w:r>
        <w:rPr>
          <w:rStyle w:val="LineNumber"/>
          <w:rFonts w:ascii="David" w:hAnsi="David"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Style w:val="LineNumber"/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Style w:val="LineNumber"/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Style w:val="LineNumber"/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Style w:val="LineNumber"/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Style w:val="LineNumber"/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Style w:val="LineNumber"/>
          <w:rFonts w:ascii="David" w:hAnsi="David" w:eastAsia="David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Style w:val="LineNumber"/>
          <w:rFonts w:cs="FrankRuehl" w:ascii="David" w:hAnsi="David"/>
          <w:b/>
          <w:bCs/>
          <w:sz w:val="28"/>
          <w:szCs w:val="28"/>
        </w:rPr>
        <w:t>45</w:t>
      </w:r>
      <w:r>
        <w:rPr>
          <w:rStyle w:val="LineNumber"/>
          <w:rFonts w:cs="FrankRuehl" w:ascii="David" w:hAnsi="David"/>
          <w:b/>
          <w:bCs/>
          <w:sz w:val="28"/>
          <w:szCs w:val="28"/>
          <w:rtl w:val="true"/>
        </w:rPr>
        <w:t xml:space="preserve"> </w:t>
      </w:r>
      <w:r>
        <w:rPr>
          <w:rStyle w:val="LineNumber"/>
          <w:rFonts w:ascii="David" w:hAnsi="David"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Style w:val="LineNumber"/>
          <w:rFonts w:cs="FrankRuehl" w:ascii="David" w:hAnsi="David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ט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04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פברואר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הצדדים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Cs w:val="28"/>
          <w:rtl w:val="true"/>
        </w:rPr>
        <w:tab/>
        <w:tab/>
        <w:tab/>
        <w:tab/>
        <w:tab/>
      </w:r>
    </w:p>
    <w:p>
      <w:pPr>
        <w:pStyle w:val="Header"/>
        <w:spacing w:lineRule="auto" w:line="360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מיכל ברנט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6089-07-14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בהג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ת בתילו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ascii="Arial" w:hAnsi="Arial"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40i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case/5591782" TargetMode="External"/><Relationship Id="rId14" Type="http://schemas.openxmlformats.org/officeDocument/2006/relationships/hyperlink" Target="http://www.nevo.co.il/case/6949290" TargetMode="External"/><Relationship Id="rId15" Type="http://schemas.openxmlformats.org/officeDocument/2006/relationships/hyperlink" Target="http://www.nevo.co.il/case/7671124" TargetMode="External"/><Relationship Id="rId16" Type="http://schemas.openxmlformats.org/officeDocument/2006/relationships/hyperlink" Target="http://www.nevo.co.il/case/5760328" TargetMode="External"/><Relationship Id="rId17" Type="http://schemas.openxmlformats.org/officeDocument/2006/relationships/hyperlink" Target="http://www.nevo.co.il/law/70301/40i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7807298" TargetMode="External"/><Relationship Id="rId20" Type="http://schemas.openxmlformats.org/officeDocument/2006/relationships/hyperlink" Target="http://www.nevo.co.il/law/70301/3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2017-09-28T10:28:00Z</dcterms:created>
  <dc:creator> </dc:creator>
  <dc:description/>
  <cp:keywords/>
  <dc:language>en-IL</dc:language>
  <cp:lastModifiedBy>run</cp:lastModifiedBy>
  <dcterms:modified xsi:type="dcterms:W3CDTF">2017-09-28T10:28:00Z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בהג'ת בתילו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5591782;6949290;7671124;5760328;7807298</vt:lpwstr>
  </property>
  <property fmtid="{D5CDD505-2E9C-101B-9397-08002B2CF9AE}" pid="9" name="CITY">
    <vt:lpwstr>מרכז</vt:lpwstr>
  </property>
  <property fmtid="{D5CDD505-2E9C-101B-9397-08002B2CF9AE}" pid="10" name="DATE">
    <vt:lpwstr>20150204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מיכל ברנט</vt:lpwstr>
  </property>
  <property fmtid="{D5CDD505-2E9C-101B-9397-08002B2CF9AE}" pid="14" name="LAWLISTTMP1">
    <vt:lpwstr>70301/144.a;031:2;144.b;040i.a;032</vt:lpwstr>
  </property>
  <property fmtid="{D5CDD505-2E9C-101B-9397-08002B2CF9AE}" pid="15" name="LAWYER">
    <vt:lpwstr>יעל עצמון;  ניצן ביילין;ענבוסי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6089</vt:lpwstr>
  </property>
  <property fmtid="{D5CDD505-2E9C-101B-9397-08002B2CF9AE}" pid="22" name="NEWPARTB">
    <vt:lpwstr>07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390020150204</vt:lpwstr>
  </property>
  <property fmtid="{D5CDD505-2E9C-101B-9397-08002B2CF9AE}" pid="34" name="TYPE_N_DATE">
    <vt:lpwstr>39020150204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