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0"/>
        <w:gridCol w:w="3661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60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61106-05-20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גני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FrankRuehl"/>
                <w:sz w:val="28"/>
                <w:szCs w:val="28"/>
                <w:rtl w:val="true"/>
              </w:rPr>
              <w:t>/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אסיר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1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445"/>
        <w:gridCol w:w="4111"/>
        <w:gridCol w:w="2264"/>
      </w:tblGrid>
      <w:tr>
        <w:trPr>
          <w:trHeight w:val="295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  סארי ג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יוסי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411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באמצעות פרקליטות מחוז חיפה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6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63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45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11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חמד עבד אל גני 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עצור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/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אסיר בפיקוח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)</w:t>
              <w:br/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 עוה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ד ויסאם עראף</w:t>
            </w:r>
          </w:p>
        </w:tc>
        <w:tc>
          <w:tcPr>
            <w:tcW w:w="226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24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11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264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ו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</w:rPr>
          <w:t>338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5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7">
        <w:r>
          <w:rPr>
            <w:rStyle w:val="Hyperlink"/>
            <w:rFonts w:ascii="FrankRuehl" w:hAnsi="FrankRuehl" w:cs="FrankRuehl"/>
            <w:color w:val="0000FF"/>
            <w:rtl w:val="true"/>
          </w:rPr>
          <w:t xml:space="preserve">פקודת סדר הדין הפלילי 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מעצר וחיפוש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 [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תשכ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1969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</w:rPr>
          <w:t>32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  <w:bookmarkStart w:id="8" w:name="ABSTRACT_START"/>
      <w:bookmarkStart w:id="9" w:name="ABSTRACT_START"/>
      <w:bookmarkEnd w:id="9"/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הנסיבות הצריכות לעניין הן בתמצית אלה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יליד </w:t>
      </w:r>
      <w:r>
        <w:rPr>
          <w:rFonts w:cs="David" w:ascii="David" w:hAnsi="David"/>
          <w:sz w:val="24"/>
          <w:szCs w:val="24"/>
        </w:rPr>
        <w:t>15.04.1994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הורשע ביום </w:t>
      </w:r>
      <w:r>
        <w:rPr>
          <w:rFonts w:cs="David" w:ascii="David" w:hAnsi="David"/>
          <w:sz w:val="24"/>
          <w:szCs w:val="24"/>
        </w:rPr>
        <w:t>09.11.2020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סמך הודאתו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בעבירות בנשק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והובלה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לפי </w:t>
      </w:r>
      <w:hyperlink r:id="rId9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+ </w:t>
      </w:r>
      <w:hyperlink r:id="rId10"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רישא וסיפא 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התשל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ז – </w:t>
      </w:r>
      <w:r>
        <w:rPr>
          <w:rFonts w:cs="David" w:ascii="David" w:hAnsi="David"/>
          <w:sz w:val="24"/>
          <w:szCs w:val="24"/>
        </w:rPr>
        <w:t>1977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חוק העונשין</w:t>
      </w:r>
      <w:r>
        <w:rPr>
          <w:rFonts w:cs="David" w:ascii="David" w:hAnsi="David"/>
          <w:sz w:val="24"/>
          <w:szCs w:val="24"/>
          <w:rtl w:val="true"/>
        </w:rPr>
        <w:t>").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בתאריך </w:t>
      </w:r>
      <w:r>
        <w:rPr>
          <w:rFonts w:cs="David" w:ascii="David" w:hAnsi="David"/>
          <w:sz w:val="24"/>
          <w:szCs w:val="24"/>
        </w:rPr>
        <w:t>17.05.2020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00:20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נהג הנאשם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מסוג רנו קנגו 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1044514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הרכב</w:t>
      </w:r>
      <w:r>
        <w:rPr>
          <w:rFonts w:cs="David" w:ascii="David" w:hAnsi="David"/>
          <w:sz w:val="24"/>
          <w:szCs w:val="24"/>
          <w:rtl w:val="true"/>
        </w:rPr>
        <w:t xml:space="preserve">") </w:t>
      </w:r>
      <w:r>
        <w:rPr>
          <w:rFonts w:ascii="David" w:hAnsi="David" w:cs="David"/>
          <w:sz w:val="24"/>
          <w:sz w:val="24"/>
          <w:szCs w:val="24"/>
          <w:rtl w:val="true"/>
        </w:rPr>
        <w:t>מביתו בנחף והתקרב לכיוון צומת אליקים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חברו מיסרה אסמאעיל נוסע עימו 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  <w:bookmarkStart w:id="10" w:name="ABSTRACT_END"/>
      <w:bookmarkStart w:id="11" w:name="ABSTRACT_END"/>
      <w:bookmarkEnd w:id="11"/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בנסיבות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בלא רשות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דין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אקדח חצי אוטומטי מסוג יריחו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ובתוכו מחסנית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המחסנית</w:t>
      </w:r>
      <w:r>
        <w:rPr>
          <w:rFonts w:cs="David" w:ascii="David" w:hAnsi="David"/>
          <w:sz w:val="24"/>
          <w:szCs w:val="24"/>
          <w:rtl w:val="true"/>
        </w:rPr>
        <w:t xml:space="preserve">"). </w:t>
      </w:r>
      <w:r>
        <w:rPr>
          <w:rFonts w:ascii="David" w:hAnsi="David" w:cs="David"/>
          <w:sz w:val="24"/>
          <w:sz w:val="24"/>
          <w:szCs w:val="24"/>
          <w:rtl w:val="true"/>
        </w:rPr>
        <w:t>הנשק הוחזק בשקית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מתחת למכסה המנוע 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במועד ההרשעה הוריתי על קבלת תסקיר משירות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בנוגע לנאשם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 xml:space="preserve">מן התסקיר מיום </w:t>
      </w:r>
      <w:r>
        <w:rPr>
          <w:rFonts w:cs="David" w:ascii="David" w:hAnsi="David"/>
        </w:rPr>
        <w:t>04.04.2021</w:t>
      </w:r>
      <w:r>
        <w:rPr>
          <w:rFonts w:cs="David" w:ascii="David" w:hAnsi="David"/>
          <w:rtl w:val="true"/>
        </w:rPr>
        <w:t xml:space="preserve"> 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רווק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שוהה במעצר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בית מלא עם איזוק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אלקטרוני בבית הוריו בכפר נחף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סיים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לימוד בבית הספר התיכון בכפרו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ללא תעודת בגרות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וטרם מעורבותו בעבירה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עבד הנאשם במשך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שנים בחברת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משלוחים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במרכז הארץ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קצינת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ציינה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שלא הוצגו בפניה אישורי הכנסה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משפחת מוצאו מונה זוג הורים וששה ילדים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מנהלים אורח חיים נורמטיבי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והנאשם 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קשריו החברתיים מצומצמים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את רוב זמנו הוא משקיע בעבודה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שלל שימוש בסמים ובאלכוהול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ממצאי שתי בדיקות לגילוי שרידי סם בשתן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העידו על כך שהנאשם נקי מסמים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Fonts w:ascii="David" w:hAnsi="David"/>
          <w:rtl w:val="true"/>
        </w:rPr>
        <w:t>קצינת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התקשה לקחת אחריות מלאה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לטענתו הנשק המוזכר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שייך לבן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דודתו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בן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דוד</w:t>
      </w:r>
      <w:r>
        <w:rPr>
          <w:rFonts w:cs="David" w:ascii="David" w:hAnsi="David"/>
          <w:rtl w:val="true"/>
        </w:rPr>
        <w:t xml:space="preserve">") </w:t>
      </w:r>
      <w:r>
        <w:rPr>
          <w:rFonts w:ascii="David" w:hAnsi="David"/>
          <w:rtl w:val="true"/>
        </w:rPr>
        <w:t>המתגורר ביפו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לדבריו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 בתסקיר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בתקופה בה עבד הנאשם במרכז הארץ והתגורר שם בשכירות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הגיע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הדוד לבקרו לעיתים קרובות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סמוך לביצוע העבירה הגיע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הדוד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וביקש מן הנאשם להשאיר שקית ובה הנשק והמחסנית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דברי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 לא סירב לבקשתו של בן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הדוד על אף שחווה אי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נוחות מסוימת מן הבקשה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מתוך חשש לעימות עימו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נענה לבקשה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והחביא את הנשק ואת המחסנית ברכבו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מנת להרחיקם מן הדירה בה הוא התגורר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במהלך האבחון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כך צוין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התבצר הנאשם בעמדה הגנתית וקורבנית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והתקשה להתבונן בצורה מעמיקה בנסיבות העומדות בבסיס מעורבותו בפלילים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עולה מן התסקיר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התרשם שהתנהגותו של הנאשם מבטאת קשיים ניכרים בעריכת שיקול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דעת אחראי ומווסת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בבסיס העבירה עומדים דפוסים של חוסר שליטה בדחפים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לצד עמדות ותפיסות המתירות החזקת נשק כחלק מתפיסת עולם גברית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באשר לגורמי הסיכוי לשיקומו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צוין בתסקיר העדר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אולם בגורמי הסיכון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הודגש הקושי של הנאשם בלקיחת אחריות על מעשיו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שימוש במנגנוני הגנה נוקשים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וקושי בהתבוננות פנימית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וקצינת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הדגישה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קיימים פרמטרים לסיכון משמעותי להישנות התנהגות פורצת חוק מצידו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נוכח האמור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לקיומה של השפעה שלילית של האווירה האלימה שבסביבת חייו של הנאשם על תפקודו הכללי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לא ראתה קצינת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 בהליך טיפולי במסגרת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אמצעי שיביא להפחתת הסיכון להישנות התנהגות עוברת חוק מצידו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24.04.2021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נשמעו טיעוני הצדדים לעונש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המאשימה הגיש טיעונים לעונש בכתב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וכן את הנחיית פרקליט המדינה מספר </w:t>
      </w:r>
      <w:r>
        <w:rPr>
          <w:rFonts w:cs="David" w:ascii="David" w:hAnsi="David"/>
          <w:sz w:val="24"/>
          <w:szCs w:val="24"/>
        </w:rPr>
        <w:t>9.16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בדבר מדיניות ענישה בעבירות נשק ומטעני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חבלה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להלן</w:t>
      </w:r>
      <w:r>
        <w:rPr>
          <w:rFonts w:cs="David" w:ascii="David" w:hAnsi="David"/>
          <w:sz w:val="24"/>
          <w:szCs w:val="24"/>
          <w:rtl w:val="true"/>
        </w:rPr>
        <w:t>: 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הנחיית פרקליט המדינה</w:t>
      </w:r>
      <w:r>
        <w:rPr>
          <w:rFonts w:cs="David" w:ascii="David" w:hAnsi="David"/>
          <w:sz w:val="24"/>
          <w:szCs w:val="24"/>
          <w:rtl w:val="true"/>
        </w:rPr>
        <w:t xml:space="preserve">"), </w:t>
      </w:r>
      <w:r>
        <w:rPr>
          <w:rFonts w:ascii="David" w:hAnsi="David" w:cs="David"/>
          <w:sz w:val="24"/>
          <w:sz w:val="24"/>
          <w:szCs w:val="24"/>
          <w:rtl w:val="true"/>
        </w:rPr>
        <w:t>ועתר לקביעת מתחם ענישה שנע בין שנה וחצי לבין ארבע שנים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אלייקים</w:t>
      </w:r>
      <w:r>
        <w:rPr>
          <w:rtl w:val="true"/>
        </w:rPr>
        <w:t xml:space="preserve">, </w:t>
      </w:r>
      <w:r>
        <w:rPr>
          <w:rtl w:val="true"/>
        </w:rPr>
        <w:t>משמע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היבט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הגיאוגרפי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3877/16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פאדי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17.11.2016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באלי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tl w:val="true"/>
        </w:rPr>
        <w:t>-</w:t>
      </w:r>
      <w:r>
        <w:rPr>
          <w:rtl w:val="true"/>
        </w:rPr>
        <w:t>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1376-04-20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ארפאעיה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17.02.2021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ארפאעיה</w:t>
      </w:r>
      <w:r>
        <w:rPr>
          <w:rtl w:val="true"/>
        </w:rPr>
        <w:t xml:space="preserve">"),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גיאוגרפי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לחימה</w:t>
      </w:r>
      <w:r>
        <w:rPr>
          <w:rtl w:val="true"/>
        </w:rPr>
        <w:t xml:space="preserve">,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ודומה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התגברה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tl w:val="true"/>
        </w:rPr>
        <w:t>-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בהרתעתו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עוצמת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הדוק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הגיאוגרפי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1000/15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אלחווה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03.07.2015</w:t>
      </w:r>
      <w:r>
        <w:rPr>
          <w:rtl w:val="true"/>
        </w:rPr>
        <w:t xml:space="preserve">),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>-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59804-01-17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עאזר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18.06.2017</w:t>
      </w:r>
      <w:r>
        <w:rPr>
          <w:rtl w:val="true"/>
        </w:rPr>
        <w:t>).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והדגיש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דסניגור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tl w:val="true"/>
        </w:rPr>
        <w:t>-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הפתרון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tl w:val="true"/>
        </w:rPr>
        <w:t>-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.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tl w:val="true"/>
        </w:rPr>
        <w:t xml:space="preserve">, </w:t>
      </w:r>
      <w:r>
        <w:rPr>
          <w:rtl w:val="true"/>
        </w:rPr>
        <w:t>יאמץ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-</w:t>
      </w:r>
      <w:r>
        <w:rPr>
          <w:rtl w:val="true"/>
        </w:rPr>
        <w:t>הסוהר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17.05.2020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16.07.2020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tl w:val="true"/>
        </w:rPr>
        <w:t>-</w:t>
      </w:r>
      <w:r>
        <w:rPr>
          <w:rtl w:val="true"/>
        </w:rPr>
        <w:t>אלקטרוני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ומתמשך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tl w:val="true"/>
        </w:rPr>
        <w:t xml:space="preserve">,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tl w:val="true"/>
        </w:rPr>
        <w:t>-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49995-09-17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04.11.2018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מטען</w:t>
      </w:r>
      <w:r>
        <w:rPr>
          <w:rtl w:val="true"/>
        </w:rPr>
        <w:t>-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6-18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  <w:tab/>
      </w:r>
    </w:p>
    <w:p>
      <w:pPr>
        <w:pStyle w:val="David"/>
        <w:ind w:start="1076"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41276-06-17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ודיע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בארין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17.07.2018</w:t>
      </w:r>
      <w:r>
        <w:rPr>
          <w:rtl w:val="true"/>
        </w:rPr>
        <w:t xml:space="preserve">),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David"/>
        <w:ind w:start="1076" w:end="0"/>
        <w:jc w:val="both"/>
        <w:rPr/>
      </w:pPr>
      <w:r>
        <w:rPr>
          <w:rtl w:val="true"/>
        </w:rPr>
      </w:r>
    </w:p>
    <w:p>
      <w:pPr>
        <w:pStyle w:val="David"/>
        <w:ind w:start="1076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5004/17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ענאן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אלעטאונה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20.11.2017</w:t>
      </w:r>
      <w:r>
        <w:rPr>
          <w:rtl w:val="true"/>
        </w:rPr>
        <w:t xml:space="preserve">),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>.</w:t>
      </w:r>
    </w:p>
    <w:p>
      <w:pPr>
        <w:pStyle w:val="David"/>
        <w:ind w:start="1076" w:end="0"/>
        <w:jc w:val="both"/>
        <w:rPr/>
      </w:pPr>
      <w:r>
        <w:rPr>
          <w:rtl w:val="true"/>
        </w:rPr>
      </w:r>
    </w:p>
    <w:p>
      <w:pPr>
        <w:pStyle w:val="David"/>
        <w:ind w:start="1076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19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68600-12-19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דאהוד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19.03.2020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והותר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David"/>
        <w:ind w:start="1076" w:end="0"/>
        <w:jc w:val="both"/>
        <w:rPr>
          <w:highlight w:val="yellow"/>
        </w:rPr>
      </w:pPr>
      <w:r>
        <w:rPr>
          <w:highlight w:val="yellow"/>
          <w:rtl w:val="true"/>
        </w:rPr>
      </w:r>
    </w:p>
    <w:p>
      <w:pPr>
        <w:pStyle w:val="David"/>
        <w:ind w:start="1076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tl w:val="true"/>
        </w:rPr>
        <w:t>-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>:</w:t>
      </w:r>
      <w:r>
        <w:rPr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63018-05-18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24.10.2019</w:t>
      </w:r>
      <w:r>
        <w:rPr>
          <w:rtl w:val="true"/>
        </w:rPr>
        <w:t xml:space="preserve">),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4978/19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חוסאם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31.07.2019</w:t>
      </w:r>
      <w:r>
        <w:rPr>
          <w:rtl w:val="true"/>
        </w:rPr>
        <w:t xml:space="preserve">),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17935-01-20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אגבאריה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08.09.2020</w:t>
      </w:r>
      <w:r>
        <w:rPr>
          <w:rtl w:val="true"/>
        </w:rPr>
        <w:t xml:space="preserve">), 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46608-06-19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בשאר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26.02.2020</w:t>
      </w:r>
      <w:r>
        <w:rPr>
          <w:rtl w:val="true"/>
        </w:rPr>
        <w:t xml:space="preserve">), 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4343-12-19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מחאמיד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17.05.2020</w:t>
      </w:r>
      <w:r>
        <w:rPr>
          <w:rtl w:val="true"/>
        </w:rPr>
        <w:t xml:space="preserve">), 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52802-07-19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ראמי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26.10.2020</w:t>
      </w:r>
      <w:r>
        <w:rPr>
          <w:rtl w:val="true"/>
        </w:rPr>
        <w:t xml:space="preserve">), </w:t>
      </w:r>
      <w:hyperlink r:id="rId26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32900-07-17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חודיפה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28.09.2017</w:t>
      </w:r>
      <w:r>
        <w:rPr>
          <w:rtl w:val="true"/>
        </w:rPr>
        <w:t xml:space="preserve">),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8286-05-18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אשרף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מריסאת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19.07.2018</w:t>
      </w:r>
      <w:r>
        <w:rPr>
          <w:rtl w:val="true"/>
        </w:rPr>
        <w:t>).</w:t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" </w:t>
      </w:r>
      <w:r>
        <w:rPr>
          <w:b/>
          <w:bCs/>
          <w:rtl w:val="true"/>
        </w:rPr>
        <w:t xml:space="preserve">.... </w:t>
      </w:r>
      <w:r>
        <w:rPr>
          <w:b/>
          <w:b/>
          <w:bCs/>
          <w:rtl w:val="true"/>
        </w:rPr>
        <w:t>קודם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לקצינת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אמרתי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לקחתי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להגיד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מצטער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גרועות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מחשבים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בהתחלה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נסעתי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ולהתפרנס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בגלל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נכנסתי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שעשיתי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שילמתי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מבקש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שיתחשב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טועה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להשתקם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נורמליים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למדתי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והבנתי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שצריך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שטעיתי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ישבתי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במעצר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והשתקמתי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מתפלל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נורמליים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שהייתי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tl w:val="true"/>
        </w:rPr>
        <w:t>".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/>
      </w:pP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ולפיהם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18-48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ListParagraph"/>
        <w:ind w:start="1080" w:end="0"/>
        <w:jc w:val="start"/>
        <w:rPr/>
      </w:pPr>
      <w:r>
        <w:rPr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מדיניות הענישה הנוהגת בעבירה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הפנתה המאשימה להנחיית פרקליט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קיים צורך בהחמרת הענישה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לפסיקת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אף ממנה עולה הצורך בהחמרת הענישה בעבירות נשק בשל היותן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מדינה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  <w:r>
        <w:rPr>
          <w:rFonts w:ascii="David" w:hAnsi="David" w:cs="David"/>
          <w:sz w:val="24"/>
          <w:sz w:val="24"/>
          <w:szCs w:val="24"/>
          <w:rtl w:val="true"/>
        </w:rPr>
        <w:t>עוד הודגש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ריבוי התיקים בבתי המשפט במחוז חיפה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בעניינם של נאשמים צעירים ונאשמים נעדרי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ממחישים ביתר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העובדה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עבירות נשק הן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מכת אזור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כך לטענת המאשימה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הערכים החברתיים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נפגעו באירוע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חיי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שלום הציבור ושלטון החוק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קיים אינטרס 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בגיבוי מלאכת האכיפה של השוטרים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ידי ענישה מרתיעה על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זה הפנתה המאשימה אף לדו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ח מבקר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פורסם ביום </w:t>
      </w:r>
      <w:r>
        <w:rPr>
          <w:rFonts w:cs="David" w:ascii="David" w:hAnsi="David"/>
          <w:sz w:val="24"/>
          <w:szCs w:val="24"/>
        </w:rPr>
        <w:t>15.08.2018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עולים נתונים מדאיגים על סוגית עבירות בנשק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והזמינות הגבוהה של אמצעי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לחימה בחברה הערבית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באשר לנסיבות הקשורות בביצוע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טענה המאשימה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ליתן את הדעת לכך שהנאשם נשא והוביל את הנשק ברכבו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 הוא טעון במחסנית התואמת לאקדח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ואשר הלכה למעשה מוכן לירי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ביצוע העבירה התבצע באזור נרחב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במשך זמן ארוך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ובשעת לילה מאוחרת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ובנוסף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האקדח בו מדובר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מסוג ירחיו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הוא נשק מסוכן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באפשרותו להמית אדם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מקום שאדם נמצא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נושא ומוביל נשק ללא רישיון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מותר להניח לחובתו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הוא עושה זאת למטרות לא כשרות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מקל וחומר שעה שאין הוא מציע למעשה זה הסבר מניח את הדעת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למדיניות הענישה המחמירה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לטעמה רלוונטית לענייננו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2564/19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איברהים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אזברגה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18.07.2019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מתחם ענישה שנע בין </w:t>
      </w:r>
      <w:r>
        <w:rPr>
          <w:rFonts w:cs="David" w:ascii="David" w:hAnsi="David"/>
          <w:sz w:val="24"/>
          <w:szCs w:val="24"/>
        </w:rPr>
        <w:t>12-40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בגין נשיאת אקדח בקוטר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 באמצעות רכב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הודה במעשיו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היה בעל נסיבות אישיות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ללא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ובעל תסקיר שללי נידון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ובית המשפט העליון אישר את גזר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הדין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3288/14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מטיאל קריספיל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24.08.2014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הורשע הנאשם בהחזקה של אקדח ותחמושת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והושתו עליו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בית המשפט העליון קיבל את ערעור המדינה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 על הנאשם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390/17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עומר סער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03.07.2017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נקבע מתחם ענישה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נע בין </w:t>
      </w:r>
      <w:r>
        <w:rPr>
          <w:rFonts w:cs="David" w:ascii="David" w:hAnsi="David"/>
          <w:sz w:val="24"/>
          <w:szCs w:val="24"/>
        </w:rPr>
        <w:t>28-54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בגין נשיאת אקדח בצוותא באמצעות אופנוע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נהיגה בקלות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דעת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 בעל עבר פלילי מכביד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במעשיו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העליון קיבל את ערעורו של הנאשם וגזר עליו </w:t>
      </w:r>
      <w:r>
        <w:rPr>
          <w:rFonts w:cs="David" w:ascii="David" w:hAnsi="David"/>
          <w:sz w:val="24"/>
          <w:szCs w:val="24"/>
        </w:rPr>
        <w:t>34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חלף </w:t>
      </w:r>
      <w:r>
        <w:rPr>
          <w:rFonts w:cs="David" w:ascii="David" w:hAnsi="David"/>
          <w:sz w:val="24"/>
          <w:szCs w:val="24"/>
        </w:rPr>
        <w:t>40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החודשים שגזר עליו בית המשפט המחוזי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שוב לעניין 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אבלי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ולעניין ארפאעיה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נדונו בטיעוני המאשימה לעונש בעל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בתוך מתחם הענישה עתרה המאשימה לגזור את עונשו של הנאשם ברף הבינוני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כבן </w:t>
      </w:r>
      <w:r>
        <w:rPr>
          <w:rFonts w:cs="David" w:ascii="David" w:hAnsi="David"/>
          <w:sz w:val="24"/>
          <w:szCs w:val="24"/>
        </w:rPr>
        <w:t>27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נעדר עבר פלילי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והודה בעובדות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צוין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הנאשם היה עצור בין התאריכים </w:t>
      </w:r>
      <w:r>
        <w:rPr>
          <w:rFonts w:cs="David" w:ascii="David" w:hAnsi="David"/>
          <w:sz w:val="24"/>
          <w:szCs w:val="24"/>
        </w:rPr>
        <w:t>17.05.2020-16.07.2020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ומאז מצוי במעצר בית באיזוק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אלקטרוני בבית אביו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המאשימה הפנתה לתסקיר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 בעניינו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כך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שירות המבחן העריך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שקיים סיכון משמעותי להישנות התנהגות פורצת חוק מצידו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ולא סבר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הליך טיפולי במסגרת שירותם מהווה משום אמצעי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עשוי להביא להפחתת הסיכון ממנו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נוכח האמור לעיל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להרתעתו האישית של הנאשם והמסוכנות הנשקפת ממנו בעתיד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לגזור עליו עונש מאסר מאחורי סורג ובריח באמצע המתחם שהוצג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מאסר מותנה מרתיע וקנס משמעותי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David"/>
        <w:ind w:start="1076" w:end="0"/>
        <w:jc w:val="both"/>
        <w:rPr/>
      </w:pPr>
      <w:r>
        <w:rPr>
          <w:rFonts w:ascii="David" w:hAnsi="David" w:eastAsia="Calibri"/>
          <w:rtl w:val="true"/>
        </w:rPr>
        <w:t>עוד ובנוסף עתרה המאשימה לחלט את רכבו של הנאשם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אשר שימש אותו לביצוע העבירה בה הורשע</w:t>
      </w:r>
      <w:r>
        <w:rPr>
          <w:rFonts w:eastAsia="Calibri" w:cs="David" w:ascii="David" w:hAnsi="David"/>
          <w:rtl w:val="true"/>
        </w:rPr>
        <w:t xml:space="preserve">. </w:t>
      </w:r>
      <w:r>
        <w:rPr>
          <w:rFonts w:ascii="David" w:hAnsi="David" w:eastAsia="Calibri"/>
          <w:rtl w:val="true"/>
        </w:rPr>
        <w:t xml:space="preserve">בחינת </w:t>
      </w:r>
      <w:r>
        <w:rPr>
          <w:rFonts w:eastAsia="Calibri" w:cs="David" w:ascii="David" w:hAnsi="David"/>
          <w:rtl w:val="true"/>
        </w:rPr>
        <w:t>"</w:t>
      </w:r>
      <w:r>
        <w:rPr>
          <w:rFonts w:ascii="David" w:hAnsi="David" w:eastAsia="Calibri"/>
          <w:rtl w:val="true"/>
        </w:rPr>
        <w:t>מהותה ועוצמתה של הזיקה</w:t>
      </w:r>
      <w:r>
        <w:rPr>
          <w:rFonts w:eastAsia="Calibri" w:cs="David" w:ascii="David" w:hAnsi="David"/>
          <w:rtl w:val="true"/>
        </w:rPr>
        <w:t xml:space="preserve">", </w:t>
      </w:r>
      <w:r>
        <w:rPr>
          <w:rFonts w:ascii="David" w:hAnsi="David" w:eastAsia="Calibri"/>
          <w:rtl w:val="true"/>
        </w:rPr>
        <w:t>כך נטען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בין הנשק לבין מכוניתו של הנאשם מצביעה על כך שחילוט הרכב מוצדק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הואיל והרכב שימש רכיב מהותי בביצוע העבירה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ואשר בלעדיו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כך אליבא דמאשימה</w:t>
      </w:r>
      <w:r>
        <w:rPr>
          <w:rFonts w:eastAsia="Calibri" w:cs="David" w:ascii="David" w:hAnsi="David"/>
          <w:rtl w:val="true"/>
        </w:rPr>
        <w:t xml:space="preserve">, </w:t>
      </w:r>
      <w:r>
        <w:rPr>
          <w:rFonts w:ascii="David" w:hAnsi="David" w:eastAsia="Calibri"/>
          <w:rtl w:val="true"/>
        </w:rPr>
        <w:t>לא יכולה הייתה העבירה להתבצע</w:t>
      </w:r>
      <w:r>
        <w:rPr>
          <w:rFonts w:eastAsia="Calibri" w:cs="David" w:ascii="David" w:hAnsi="David"/>
          <w:rtl w:val="true"/>
        </w:rPr>
        <w:t>.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. 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3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34526-06-18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האד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ואח</w:t>
      </w:r>
      <w:r>
        <w:rPr>
          <w:b/>
          <w:bCs/>
          <w:rtl w:val="true"/>
        </w:rPr>
        <w:t>'</w:t>
      </w:r>
      <w:r>
        <w:rPr>
          <w:rtl w:val="true"/>
        </w:rPr>
        <w:t xml:space="preserve"> (</w:t>
      </w:r>
      <w:r>
        <w:rPr/>
        <w:t>14.11.2018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12-36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נלווים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3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19642-04-18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אמין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24.12.2018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פזיזות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ורשלנות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David"/>
        <w:ind w:start="1080" w:end="0"/>
        <w:jc w:val="both"/>
        <w:rPr/>
      </w:pPr>
      <w:r>
        <w:rPr>
          <w:rtl w:val="true"/>
        </w:rPr>
      </w:r>
    </w:p>
    <w:p>
      <w:pPr>
        <w:pStyle w:val="David"/>
        <w:ind w:start="1080" w:end="0"/>
        <w:jc w:val="both"/>
        <w:rPr/>
      </w:pPr>
      <w:r>
        <w:rPr>
          <w:rtl w:val="true"/>
        </w:rPr>
        <w:t>ב</w:t>
      </w:r>
      <w:r>
        <w:rPr>
          <w:rtl w:val="true"/>
        </w:rPr>
        <w:t>-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54607-07-19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יעקוב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12.01.2020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M-16</w:t>
      </w:r>
      <w:r>
        <w:rPr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ריקה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במגבת</w:t>
      </w:r>
      <w:r>
        <w:rPr>
          <w:rtl w:val="true"/>
        </w:rPr>
        <w:t xml:space="preserve">, </w:t>
      </w:r>
      <w:r>
        <w:rPr>
          <w:rtl w:val="true"/>
        </w:rPr>
        <w:t>ומונחים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מגולגל</w:t>
      </w:r>
      <w:r>
        <w:rPr>
          <w:rtl w:val="true"/>
        </w:rPr>
        <w:t xml:space="preserve">,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1"/>
        </w:numPr>
        <w:spacing w:lineRule="auto" w:line="360"/>
        <w:ind w:hanging="720"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פסיקת בית המשפט העליון קבעה באופן חד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משמעי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אינו משתמע לשתי פנים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ליתן חומרה יתרה לעבירות הנשק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סוגיהן השונים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נוכח הסכנה הגבוהה הנשקפת מהן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פסיקה זו נטועה אף בגישת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המחוקק</w:t>
      </w:r>
      <w:r>
        <w:rPr>
          <w:rFonts w:cs="David" w:ascii="David" w:hAnsi="David"/>
          <w:spacing w:val="10"/>
          <w:sz w:val="24"/>
          <w:szCs w:val="24"/>
          <w:rtl w:val="true"/>
        </w:rPr>
        <w:t xml:space="preserve">, </w:t>
      </w:r>
      <w:r>
        <w:rPr>
          <w:rFonts w:ascii="David" w:hAnsi="David" w:cs="David"/>
          <w:spacing w:val="10"/>
          <w:sz w:val="24"/>
          <w:sz w:val="24"/>
          <w:szCs w:val="24"/>
          <w:rtl w:val="true"/>
        </w:rPr>
        <w:t>אשר קבע לצידן של עבירות אלו ענישה מחמירה</w:t>
      </w:r>
      <w:r>
        <w:rPr>
          <w:rFonts w:cs="David" w:ascii="David" w:hAnsi="David"/>
          <w:spacing w:val="1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אפנה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אלרון 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3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סובח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05.11.2019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בפסקה </w:t>
      </w:r>
      <w:r>
        <w:rPr>
          <w:rFonts w:cs="David" w:ascii="David" w:hAnsi="David"/>
          <w:sz w:val="24"/>
          <w:szCs w:val="24"/>
        </w:rPr>
        <w:t>16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start="793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spacing w:before="0" w:after="420"/>
        <w:ind w:start="1134" w:end="1134"/>
        <w:jc w:val="both"/>
        <w:textAlignment w:val="baseline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rtl w:val="true"/>
        </w:rPr>
        <w:t>ראו למשל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 w:cs="David"/>
          <w:b/>
          <w:b/>
          <w:bCs/>
          <w:rtl w:val="true"/>
        </w:rPr>
        <w:t>דו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 xml:space="preserve">ח מבקר המדינה </w:t>
      </w:r>
      <w:r>
        <w:rPr>
          <w:rFonts w:ascii="David" w:hAnsi="David" w:cs="David"/>
          <w:b/>
          <w:b/>
          <w:bCs/>
          <w:spacing w:val="0"/>
          <w:rtl w:val="true"/>
        </w:rPr>
        <w:t>התמודדות משטרת ישראל עם החזקת אמצעי לחימה לא חוקיים ואירועי ירי ביישובי החברה הערבית וביישובים מעורבים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28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2018</w:t>
      </w:r>
      <w:r>
        <w:rPr>
          <w:rFonts w:cs="David" w:ascii="David" w:hAnsi="David"/>
          <w:b/>
          <w:bCs/>
          <w:rtl w:val="true"/>
        </w:rPr>
        <w:t xml:space="preserve">)). </w:t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על רקע המציאות אותה אנו חווים למרבה הצער מדי 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>....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440" w:end="0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דברים אלו אף באו לידי ביטוי לאחרונה בדברי הנשיאה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חיות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בטקס פתיחת שנת המשפט הנוכחית של לשכת עורכי הדין בנצרת</w:t>
      </w:r>
      <w:r>
        <w:rPr>
          <w:rFonts w:cs="David" w:ascii="David" w:hAnsi="David"/>
          <w:b/>
          <w:bCs/>
          <w:sz w:val="24"/>
          <w:szCs w:val="24"/>
          <w:rtl w:val="true"/>
        </w:rPr>
        <w:t>:</w:t>
      </w:r>
    </w:p>
    <w:p>
      <w:pPr>
        <w:pStyle w:val="Ruller51"/>
        <w:spacing w:lineRule="auto" w:line="360"/>
        <w:ind w:end="1282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51"/>
        <w:spacing w:lineRule="auto" w:line="36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מערכת בתי המשפט משקיעה מאמצים רבים בתחום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ובית המשפט העליון התווה וממשיך להתוות הלכות לאורך השנים באשר לרמת הענישה ההולמת את החומרה היתרה הגלומה בביצוע עבירות בנשק ובאשר לביטוי העונשי ההולם המתחייב מכך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בהתאם לכך ולנוכח ריבוי מקרי הירי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יש לנקוט במדיניות ענישה מחמירה כלפי ביצוע עבירות החזקת נשק שלא כדין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ועל אחת כמה וכמה שימוש בנשק חם ופציעתם של קורבנות שונים עקב כך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כמו גם להגעתו של נשק זה לגורמים עויינים ובכללם גורמי טרור</w:t>
      </w:r>
      <w:r>
        <w:rPr>
          <w:rFonts w:cs="David" w:ascii="David" w:hAnsi="David"/>
          <w:b/>
          <w:bCs/>
          <w:sz w:val="24"/>
          <w:szCs w:val="24"/>
          <w:rtl w:val="true"/>
        </w:rPr>
        <w:t>.</w:t>
      </w:r>
    </w:p>
    <w:p>
      <w:pPr>
        <w:pStyle w:val="Ruller41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Ruller41"/>
        <w:ind w:start="1134" w:end="1134"/>
        <w:jc w:val="both"/>
        <w:rPr/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נמצא אפוא כי בנסיבות דהיום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ראוי ונכון להחמיר את מדיניות הענישה הנוהגת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זאת בין היתר על מנת להרתיע עבריינים פוטנציאליים משימוש בו כאמצעי ליישוב סכסוכים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Ruller41"/>
        <w:ind w:start="1440" w:end="0"/>
        <w:jc w:val="both"/>
        <w:rPr/>
      </w:pPr>
      <w:r>
        <w:rPr>
          <w:rtl w:val="true"/>
        </w:rPr>
      </w:r>
    </w:p>
    <w:p>
      <w:pPr>
        <w:pStyle w:val="Ruller51"/>
        <w:spacing w:lineRule="auto" w:line="360"/>
        <w:ind w:start="1076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וכן לדבריו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מ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מזוז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התופעה של החזקת נשק שלא כדין על ידי אזרחים מהווה איום על שלום הציבור ועל הסדר הציבורי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היא התשתית ו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הגורם בלעדו איין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causa sine qua non</w:t>
      </w:r>
      <w:r>
        <w:rPr>
          <w:rFonts w:cs="David" w:ascii="David" w:hAnsi="David"/>
          <w:b/>
          <w:bCs/>
          <w:rtl w:val="true"/>
        </w:rPr>
        <w:t xml:space="preserve">) </w:t>
      </w:r>
      <w:r>
        <w:rPr>
          <w:rFonts w:ascii="David" w:hAnsi="David"/>
          <w:b/>
          <w:b/>
          <w:bCs/>
          <w:rtl w:val="true"/>
        </w:rPr>
        <w:t>למגוון רחב של עבירות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החל בעבירות איומים ושוד מזוין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המשך בעבירות גרימת חבלה חמורה וכלה בעבירות המתה </w:t>
      </w:r>
      <w:r>
        <w:rPr>
          <w:rFonts w:cs="David" w:ascii="David" w:hAnsi="David"/>
          <w:b/>
          <w:bCs/>
          <w:rtl w:val="true"/>
        </w:rPr>
        <w:t xml:space="preserve">[...] </w:t>
      </w:r>
      <w:r>
        <w:rPr>
          <w:rFonts w:ascii="David" w:hAnsi="David"/>
          <w:b/>
          <w:b/>
          <w:bCs/>
          <w:rtl w:val="true"/>
        </w:rPr>
        <w:t>על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המאבק בתופעות האלימות החמורות בחברה הישראלית בהן נעשה שימוש בנשק מחייב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מעבר למאמץ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לשים יד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על כלי הנשק הבלתי חוקיים הרבים שבידי הציבור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גם ענישה מחמירה ומרתיעה בעבירות 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לרבות על עצם החזקה או רכישה שלא כדין של נשק</w:t>
      </w:r>
      <w:r>
        <w:rPr>
          <w:rFonts w:cs="David" w:ascii="David" w:hAnsi="David"/>
          <w:b/>
          <w:bCs/>
          <w:rtl w:val="true"/>
        </w:rPr>
        <w:t xml:space="preserve">. [...] </w:t>
      </w:r>
      <w:r>
        <w:rPr>
          <w:rFonts w:ascii="David" w:hAnsi="David"/>
          <w:b/>
          <w:b/>
          <w:bCs/>
          <w:rtl w:val="true"/>
        </w:rPr>
        <w:t>ביעור תופעת החזקת כלי</w:t>
      </w:r>
      <w:r>
        <w:rPr>
          <w:rFonts w:cs="David" w:ascii="David" w:hAnsi="David"/>
          <w:b/>
          <w:bCs/>
          <w:rtl w:val="true"/>
        </w:rPr>
        <w:t>-</w:t>
      </w:r>
      <w:r>
        <w:rPr>
          <w:rFonts w:ascii="David" w:hAnsi="David"/>
          <w:b/>
          <w:b/>
          <w:bCs/>
          <w:rtl w:val="true"/>
        </w:rPr>
        <w:t>נשק בלתי חוקיים הוא אפוא אינטרס ציבורי מהמעלה הראשונה ותנאי הכרחי למאבק בתופעות הפשיעה האלימה לסוגיה הרווחות במקומותינו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בבחינת 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ייבוש הביצה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המשמשת ערס לגידולן של תופעות אלה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מהלך כזה מחייב הירתמות גם של בתי המשפט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על ידי ענישה מחמירה ומרתיעה לעבירות נשק בלתי חוקי באשר הן </w:t>
      </w:r>
      <w:r>
        <w:rPr>
          <w:rFonts w:cs="David" w:ascii="David" w:hAnsi="David"/>
          <w:b/>
          <w:bCs/>
          <w:rtl w:val="true"/>
        </w:rPr>
        <w:t>[...]"</w:t>
      </w:r>
    </w:p>
    <w:p>
      <w:pPr>
        <w:pStyle w:val="Normal"/>
        <w:spacing w:lineRule="auto" w:line="36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במעשיו פגע הנאשם בביטחון הפרט והציבור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ובשלומו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בשלטון החוק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ודוק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עובדות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נהג הנאשם ברכבו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בשעה </w:t>
      </w:r>
      <w:r>
        <w:rPr>
          <w:rFonts w:cs="David" w:ascii="David" w:hAnsi="David"/>
        </w:rPr>
        <w:t>00:20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מביתו בנחף והתקרב לכיוון צומת אליקים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כשחברו מיסרה אסמאעיל נוסע עימו ברכב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793" w:end="0"/>
        <w:jc w:val="both"/>
        <w:rPr/>
      </w:pPr>
      <w:r>
        <w:rPr>
          <w:rFonts w:ascii="David" w:hAnsi="David" w:cs="David"/>
          <w:sz w:val="24"/>
          <w:sz w:val="24"/>
          <w:szCs w:val="24"/>
          <w:rtl w:val="true"/>
        </w:rPr>
        <w:t>בנסיבות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החזיק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נשא והוביל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u w:val="single"/>
          <w:rtl w:val="true"/>
        </w:rPr>
        <w:t>אקדח חצי אוטומטי מסוג יריחו ובתוכו מחסנית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הוחזק בשקית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מתחת למחסה המנוע ברכב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מדובר במי שהוביל כלי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נשק ותחמושת לצידו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אם בנאשם שהוביל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כאמור 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אקדח חצי אוטומטי ובתוכו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צורך להכביר מילים על המשמעויות וההשלכות של שוני זה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</w:p>
    <w:p>
      <w:pPr>
        <w:pStyle w:val="Ruller41"/>
        <w:ind w:hanging="720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>.</w:t>
        <w:tab/>
      </w:r>
      <w:r>
        <w:rPr>
          <w:rFonts w:ascii="David" w:hAnsi="David" w:cs="David"/>
          <w:sz w:val="24"/>
          <w:sz w:val="24"/>
          <w:szCs w:val="24"/>
          <w:rtl w:val="true"/>
        </w:rPr>
        <w:t>באשר למדיניות 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הפנו באי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כוח הצדדים לפסיקה רלוונטית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והגישו לעיוני אסופת פסיקה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הן של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והן של בתי המשפט המחוזיים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כ המאשימה אף הגיש לעיוני את הנחיית פרקליט המדינה בדבר מדיניות הענישה בעבירות נשק ומטעני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חבלה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מיום </w:t>
      </w:r>
      <w:r>
        <w:rPr>
          <w:rFonts w:cs="David" w:ascii="David" w:hAnsi="David"/>
          <w:sz w:val="24"/>
          <w:szCs w:val="24"/>
        </w:rPr>
        <w:t>07.08.2016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מן החומר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קיים מנעד רחב ביותר של פסיקה באשר לענישה בעבירה האמורה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בה הסתפקו בתי המשפט בהטלת עונש מאסר לריצוי בעבודות שירות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קיימת פסיקה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שבה עמדו בתי המשפט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כך שבעבירה מן הסוג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שבפנינו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קיים הכרח להטיל על הנאשם עונש של מאסר בפועל לריצוי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קראתי בעיון את הפסיקה אליה הפנו הצדדים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מן הפסיקה אליה הפנתה המאשימה עולות נסיבות חמורות מן הנסיבות אשר מתוארות בכתב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ריבוי עבירות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נאשמים בעלי עבר פלילי מכביד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ועוד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 הפסיקה אליה הפנה 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בהן הנסיבות שונות בתכלית מאלו שבעניינו של הנאשם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נאשמים בעלי מצב נסיבות אישיות קשות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וכן העובדה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חלקן נדונו בערכאות הערעור השונות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ערכאת הערעור אינה נוטה למצות את חומרת הדין עם הנאשמים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מקריאה מעמיקה של 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עולה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שופטיו התוו מימים ימימה את מדיניות הענישה הראויה בעבירות 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במציאות הנכוחה של ימינו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מילותיהם מקבלות משנה תוקף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אפנה לדבריה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השופטת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חיות בעניין 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באלי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ind w:start="1440" w:end="0"/>
        <w:jc w:val="both"/>
        <w:rPr>
          <w:rFonts w:ascii="David" w:hAnsi="David" w:cs="David"/>
          <w:b/>
          <w:bCs/>
          <w:spacing w:val="0"/>
        </w:rPr>
      </w:pPr>
      <w:r>
        <w:rPr>
          <w:rFonts w:cs="David" w:ascii="David" w:hAnsi="David"/>
          <w:b/>
          <w:bCs/>
          <w:spacing w:val="0"/>
          <w:rtl w:val="true"/>
        </w:rPr>
      </w:r>
    </w:p>
    <w:p>
      <w:pPr>
        <w:pStyle w:val="Ruller42"/>
        <w:ind w:start="1134" w:end="1134"/>
        <w:jc w:val="both"/>
        <w:rPr/>
      </w:pPr>
      <w:r>
        <w:rPr>
          <w:rFonts w:cs="David" w:ascii="David" w:hAnsi="David"/>
          <w:b/>
          <w:bCs/>
          <w:spacing w:val="0"/>
          <w:rtl w:val="true"/>
        </w:rPr>
        <w:t>"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בית משפט זה עמד פעמים רבות על </w:t>
      </w:r>
      <w:r>
        <w:rPr>
          <w:rFonts w:ascii="David" w:hAnsi="David" w:cs="David"/>
          <w:b/>
          <w:b/>
          <w:bCs/>
          <w:rtl w:val="true"/>
        </w:rPr>
        <w:t>החומרה היתרה הגלומה בביצוע עבירות בנשק ובכללן העבירה של החזקת נשק או נשיאתו שלא כדין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עבירות אלה מקימות סיכון חמור לשלום הציבור וביטחונו ומחייבות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ליתן ביטוי עונשי הולם ומרתיע באמצעות הרחקת מבצע העבירה מן החברה לתקופת מאסר ממשית לריצוי בפועל</w:t>
      </w:r>
      <w:r>
        <w:rPr>
          <w:rFonts w:cs="David" w:ascii="David" w:hAnsi="David"/>
          <w:b/>
          <w:bCs/>
          <w:rtl w:val="true"/>
        </w:rPr>
        <w:t>" (</w:t>
      </w:r>
      <w:hyperlink r:id="rId37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5120/11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שתיווי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spacing w:val="0"/>
          <w:rtl w:val="true"/>
        </w:rPr>
        <w:t>, 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בפסקה </w:t>
      </w:r>
      <w:r>
        <w:rPr>
          <w:rFonts w:cs="David" w:ascii="David" w:hAnsi="David"/>
          <w:b/>
          <w:bCs/>
          <w:spacing w:val="0"/>
        </w:rPr>
        <w:t>5</w:t>
      </w:r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18.12.2011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38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4329/10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פלוני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cs="David" w:ascii="David" w:hAnsi="David"/>
          <w:b/>
          <w:bCs/>
        </w:rPr>
        <w:t>25.10.2010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עוד נפסק כי חומרתן של העבירות בנשק אינה מסתכמת רק בנזק שאירע בפועל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אם</w:t>
      </w:r>
      <w:r>
        <w:rPr>
          <w:rFonts w:ascii="David" w:hAnsi="David" w:cs="David"/>
          <w:b/>
          <w:b/>
          <w:bCs/>
          <w:spacing w:val="0"/>
          <w:rtl w:val="true"/>
        </w:rPr>
        <w:t xml:space="preserve"> בפוטנציאל </w:t>
      </w:r>
      <w:r>
        <w:rPr>
          <w:rFonts w:ascii="David" w:hAnsi="David" w:cs="David"/>
          <w:b/>
          <w:b/>
          <w:bCs/>
          <w:rtl w:val="true"/>
        </w:rPr>
        <w:t xml:space="preserve">הנזק הנובע מאותן עבירות </w:t>
      </w:r>
      <w:r>
        <w:rPr>
          <w:rFonts w:cs="David" w:ascii="David" w:hAnsi="David"/>
          <w:b/>
          <w:bCs/>
          <w:rtl w:val="true"/>
        </w:rPr>
        <w:t>(</w:t>
      </w:r>
      <w:hyperlink r:id="rId39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116/13</w:t>
        </w:r>
      </w:hyperlink>
      <w:r>
        <w:rPr>
          <w:rFonts w:cs="David" w:ascii="David" w:hAnsi="David"/>
          <w:b/>
          <w:bCs/>
          <w:spacing w:val="0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וקנין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 xml:space="preserve">בפסקה </w:t>
      </w:r>
      <w:r>
        <w:rPr>
          <w:rFonts w:cs="David" w:ascii="David" w:hAnsi="David"/>
          <w:b/>
          <w:bCs/>
        </w:rPr>
        <w:t>7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31.7.2013</w:t>
      </w:r>
      <w:r>
        <w:rPr>
          <w:rFonts w:cs="David" w:ascii="David" w:hAnsi="David"/>
          <w:b/>
          <w:bCs/>
          <w:rtl w:val="true"/>
        </w:rPr>
        <w:t xml:space="preserve">))"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עוד אפנה לפסק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דינו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השופט 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פוגלמן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ממנו אף עולה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קיימת מגמה של החמרה בענישה בעבירות הנשק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Ruller41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Ruller41"/>
        <w:tabs>
          <w:tab w:val="clear" w:pos="720"/>
          <w:tab w:val="left" w:pos="651" w:leader="none"/>
        </w:tabs>
        <w:ind w:start="720" w:end="0"/>
        <w:jc w:val="both"/>
        <w:rPr/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ר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hyperlink r:id="rId4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8017/20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פאדי גריפאת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22.12.2020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Ruller41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eastAsia="David"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ab/>
      </w:r>
    </w:p>
    <w:p>
      <w:pPr>
        <w:pStyle w:val="Normal"/>
        <w:spacing w:lineRule="auto" w:line="360"/>
        <w:ind w:hanging="720" w:start="1854" w:end="1134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 xml:space="preserve">בית משפט זה עמד בשורה ארוכה של פסקי דין על החומרה היתרה של עבירות הנשק ועל הסכנה הגבוהה שנשקפת מהן לשלום הציבור ולביטחונו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מיני רבים</w:t>
      </w:r>
      <w:r>
        <w:rPr>
          <w:rFonts w:cs="David" w:ascii="David" w:hAnsi="David"/>
          <w:b/>
          <w:bCs/>
          <w:rtl w:val="true"/>
        </w:rPr>
        <w:t xml:space="preserve">, </w:t>
      </w:r>
      <w:hyperlink r:id="rId4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1944/20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אמארה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2.9.2020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אמארה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געביס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8</w:t>
      </w:r>
      <w:r>
        <w:rPr>
          <w:rFonts w:cs="David" w:ascii="David" w:hAnsi="David"/>
          <w:b/>
          <w:bCs/>
          <w:rtl w:val="true"/>
        </w:rPr>
        <w:t xml:space="preserve">). </w:t>
      </w:r>
      <w:r>
        <w:rPr>
          <w:rFonts w:ascii="David" w:hAnsi="David"/>
          <w:b/>
          <w:b/>
          <w:bCs/>
          <w:rtl w:val="true"/>
        </w:rPr>
        <w:t>חומרתן של עבירות אלו נובעת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בין היתר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גם מהחשש כי הנשק יועבר למי שמתכוון לעשות בו שימוש לפעילות עבריינית או לפעילות טרור </w:t>
      </w:r>
      <w:r>
        <w:rPr>
          <w:rFonts w:cs="David" w:ascii="David" w:hAnsi="David"/>
          <w:b/>
          <w:bCs/>
          <w:rtl w:val="true"/>
        </w:rPr>
        <w:t>(</w:t>
      </w:r>
      <w:hyperlink r:id="rId42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4945/13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סלימאן </w:t>
      </w:r>
      <w:r>
        <w:rPr>
          <w:rFonts w:cs="David" w:ascii="David" w:hAnsi="David"/>
          <w:b/>
          <w:bCs/>
          <w:rtl w:val="true"/>
        </w:rPr>
        <w:t>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>] (</w:t>
      </w:r>
      <w:r>
        <w:rPr>
          <w:rFonts w:cs="David" w:ascii="David" w:hAnsi="David"/>
          <w:b/>
          <w:bCs/>
        </w:rPr>
        <w:t>19.1.2014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43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2251/11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נפאע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4.12.2011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/>
          <w:b/>
          <w:b/>
          <w:bCs/>
          <w:u w:val="single"/>
          <w:rtl w:val="true"/>
        </w:rPr>
        <w:t>נוכח האמור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חזר וציין בית משפט זה כי קיימת מגמה של החמרה בענישה בעבירות אלו וזאת על מנת להרתיע מפני ביצוען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/>
          <w:b/>
          <w:b/>
          <w:bCs/>
          <w:rtl w:val="true"/>
        </w:rPr>
        <w:t>ע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פ עניין אמארה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; </w:t>
      </w:r>
      <w:hyperlink r:id="rId44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8045/17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בראנסי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>, [</w:t>
      </w:r>
      <w:r>
        <w:rPr>
          <w:rFonts w:ascii="David" w:hAnsi="David"/>
          <w:b/>
          <w:b/>
          <w:bCs/>
          <w:rtl w:val="true"/>
        </w:rPr>
        <w:t>פורסם בנבו</w:t>
      </w:r>
      <w:r>
        <w:rPr>
          <w:rFonts w:cs="David" w:ascii="David" w:hAnsi="David"/>
          <w:b/>
          <w:bCs/>
          <w:rtl w:val="true"/>
        </w:rPr>
        <w:t xml:space="preserve">] </w:t>
      </w:r>
      <w:r>
        <w:rPr>
          <w:rFonts w:ascii="David" w:hAnsi="David"/>
          <w:b/>
          <w:b/>
          <w:bCs/>
          <w:rtl w:val="true"/>
        </w:rPr>
        <w:t xml:space="preserve">פסקאות </w:t>
      </w:r>
      <w:r>
        <w:rPr>
          <w:rFonts w:cs="David" w:ascii="David" w:hAnsi="David"/>
          <w:b/>
          <w:bCs/>
        </w:rPr>
        <w:t>11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</w:rPr>
        <w:t>100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16.8.2018</w:t>
      </w:r>
      <w:r>
        <w:rPr>
          <w:rFonts w:cs="David" w:ascii="David" w:hAnsi="David"/>
          <w:b/>
          <w:bCs/>
          <w:rtl w:val="true"/>
        </w:rPr>
        <w:t>) (</w:t>
      </w:r>
      <w:r>
        <w:rPr>
          <w:rFonts w:ascii="David" w:hAnsi="David"/>
          <w:b/>
          <w:b/>
          <w:bCs/>
          <w:rtl w:val="true"/>
        </w:rPr>
        <w:t>להלן</w:t>
      </w:r>
      <w:r>
        <w:rPr>
          <w:rFonts w:cs="David" w:ascii="David" w:hAnsi="David"/>
          <w:b/>
          <w:bCs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עניין בראנסי</w:t>
      </w:r>
      <w:r>
        <w:rPr>
          <w:rFonts w:cs="David" w:ascii="David" w:hAnsi="David"/>
          <w:b/>
          <w:bCs/>
          <w:rtl w:val="true"/>
        </w:rPr>
        <w:t xml:space="preserve">); </w:t>
      </w:r>
      <w:r>
        <w:rPr>
          <w:rFonts w:ascii="David" w:hAnsi="David"/>
          <w:b/>
          <w:b/>
          <w:bCs/>
          <w:rtl w:val="true"/>
        </w:rPr>
        <w:t>עניין נפאע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5</w:t>
      </w:r>
      <w:r>
        <w:rPr>
          <w:rFonts w:cs="David" w:ascii="David" w:hAnsi="David"/>
          <w:b/>
          <w:bCs/>
          <w:rtl w:val="true"/>
        </w:rPr>
        <w:t xml:space="preserve">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93" w:end="0"/>
        <w:jc w:val="both"/>
        <w:rPr/>
      </w:pPr>
      <w:r>
        <w:rPr>
          <w:rFonts w:ascii="David" w:hAnsi="David"/>
          <w:rtl w:val="true"/>
        </w:rPr>
        <w:t>עוד ובנוסף אפנה לפסק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שטיין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מן העת האחרונה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hyperlink r:id="rId4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9306/20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מארון ברגות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u w:val="single"/>
          <w:rtl w:val="true"/>
        </w:rPr>
        <w:t>(</w:t>
      </w:r>
      <w:r>
        <w:rPr>
          <w:rFonts w:cs="David" w:ascii="David" w:hAnsi="David"/>
          <w:u w:val="single"/>
        </w:rPr>
        <w:t>29.04.2021</w:t>
      </w:r>
      <w:r>
        <w:rPr>
          <w:rFonts w:cs="David" w:ascii="David" w:hAnsi="David"/>
          <w:u w:val="single"/>
          <w:rtl w:val="true"/>
        </w:rPr>
        <w:t>)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20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ind w:start="1134" w:end="1134"/>
        <w:jc w:val="both"/>
        <w:textAlignment w:val="baseline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באחרונה הזדמן לי להדגיש ולהבהיר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בהסכמת חברותיי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הנשיאה </w:t>
      </w:r>
      <w:r>
        <w:rPr>
          <w:rFonts w:ascii="David" w:hAnsi="David" w:cs="David"/>
          <w:b/>
          <w:b/>
          <w:bCs/>
          <w:spacing w:val="0"/>
          <w:rtl w:val="true"/>
        </w:rPr>
        <w:t>א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חיות</w:t>
      </w:r>
      <w:r>
        <w:rPr>
          <w:rFonts w:ascii="David" w:hAnsi="David" w:cs="David"/>
          <w:b/>
          <w:b/>
          <w:bCs/>
          <w:rtl w:val="true"/>
        </w:rPr>
        <w:t xml:space="preserve"> והשופטת </w:t>
      </w:r>
      <w:r>
        <w:rPr>
          <w:rFonts w:ascii="David" w:hAnsi="David" w:cs="David"/>
          <w:b/>
          <w:b/>
          <w:bCs/>
          <w:spacing w:val="0"/>
          <w:rtl w:val="true"/>
        </w:rPr>
        <w:t>י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וילנר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כי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הטלת עונשים חמורים ומרתיעים על עברייני נשק היא עיקר תרומתם של בתי המשפט למיגור התופעה ולהרחקת העבריין עם האקדח משגרת חייהם של אזרחי מדינה שומרי חוק</w:t>
      </w:r>
      <w:r>
        <w:rPr>
          <w:rFonts w:cs="David" w:ascii="David" w:hAnsi="David"/>
          <w:b/>
          <w:bCs/>
          <w:rtl w:val="true"/>
        </w:rPr>
        <w:t>" (</w:t>
      </w:r>
      <w:r>
        <w:rPr>
          <w:rFonts w:ascii="David" w:hAnsi="David" w:cs="David"/>
          <w:b/>
          <w:b/>
          <w:bCs/>
          <w:rtl w:val="true"/>
        </w:rPr>
        <w:t>ראו</w:t>
      </w:r>
      <w:r>
        <w:rPr>
          <w:rFonts w:cs="David" w:ascii="David" w:hAnsi="David"/>
          <w:b/>
          <w:bCs/>
          <w:rtl w:val="true"/>
        </w:rPr>
        <w:t xml:space="preserve">: </w:t>
      </w:r>
      <w:hyperlink r:id="rId46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147/21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ביטון</w:t>
      </w:r>
      <w:r>
        <w:rPr>
          <w:rFonts w:ascii="David" w:hAnsi="David" w:cs="David"/>
          <w:b/>
          <w:b/>
          <w:bCs/>
          <w:rtl w:val="true"/>
        </w:rPr>
        <w:t xml:space="preserve"> פס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14.2.2021</w:t>
      </w:r>
      <w:r>
        <w:rPr>
          <w:rFonts w:cs="David" w:ascii="David" w:hAnsi="David"/>
          <w:b/>
          <w:bCs/>
          <w:rtl w:val="true"/>
        </w:rPr>
        <w:t xml:space="preserve">)). </w:t>
      </w:r>
      <w:r>
        <w:rPr>
          <w:rFonts w:ascii="David" w:hAnsi="David" w:cs="David"/>
          <w:b/>
          <w:b/>
          <w:bCs/>
          <w:rtl w:val="true"/>
        </w:rPr>
        <w:t>סבורני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כי נחטא לחובתנו זו אם נקל בעונשו של המערער דכאן אפילו במקצת</w:t>
      </w:r>
      <w:r>
        <w:rPr>
          <w:rFonts w:cs="David" w:ascii="David" w:hAnsi="David"/>
          <w:b/>
          <w:bCs/>
          <w:rtl w:val="true"/>
        </w:rPr>
        <w:t xml:space="preserve">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2"/>
        <w:tabs>
          <w:tab w:val="clear" w:pos="720"/>
          <w:tab w:val="left" w:pos="800" w:leader="none"/>
        </w:tabs>
        <w:ind w:end="0"/>
        <w:jc w:val="both"/>
        <w:textAlignment w:val="baseline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2"/>
        <w:tabs>
          <w:tab w:val="clear" w:pos="720"/>
          <w:tab w:val="left" w:pos="800" w:leader="none"/>
        </w:tabs>
        <w:ind w:end="0"/>
        <w:jc w:val="both"/>
        <w:textAlignment w:val="baseline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 w:cs="David"/>
          <w:rtl w:val="true"/>
        </w:rPr>
        <w:t>ודומני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 w:cs="David"/>
          <w:rtl w:val="true"/>
        </w:rPr>
        <w:t>כי אין אמירות ברורות מאלו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בל נשכח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העיקרון הנוהג בפסיקה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שהענישה היא אינדיבידואלית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הכול לפי נסיבות ביצוע העבירה ונסיבותיו של מבצע העבירה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יפים לענייננו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דבריו של המשנה לנשיאה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מ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אלון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47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433/89</w:t>
        </w:r>
      </w:hyperlink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אטיאס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>מדינת ישראל</w:t>
      </w:r>
      <w:r>
        <w:rPr>
          <w:rFonts w:ascii="David" w:hAnsi="David"/>
          <w:color w:val="000000"/>
          <w:rtl w:val="true"/>
        </w:rPr>
        <w:t xml:space="preserve"> פ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מג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4</w:t>
      </w:r>
      <w:r>
        <w:rPr>
          <w:rFonts w:cs="David" w:ascii="David" w:hAnsi="David"/>
          <w:rtl w:val="true"/>
        </w:rPr>
        <w:t xml:space="preserve">) </w:t>
      </w:r>
      <w:r>
        <w:rPr>
          <w:rFonts w:cs="David" w:ascii="David" w:hAnsi="David"/>
        </w:rPr>
        <w:t>170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134" w:end="1134"/>
        <w:jc w:val="both"/>
        <w:rPr>
          <w:rFonts w:ascii="David" w:hAnsi="David" w:cs="Arial"/>
          <w:sz w:val="22"/>
          <w:szCs w:val="22"/>
        </w:rPr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כידוע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אחד השיקולים החשובים בשיקולי הענישה הוא מהותה של העבירה וחומרתה</w:t>
      </w:r>
      <w:r>
        <w:rPr>
          <w:rFonts w:cs="David" w:ascii="David" w:hAnsi="David"/>
          <w:b/>
          <w:bCs/>
          <w:rtl w:val="true"/>
        </w:rPr>
        <w:t xml:space="preserve">; </w:t>
      </w:r>
      <w:r>
        <w:rPr>
          <w:rFonts w:ascii="David" w:hAnsi="David"/>
          <w:b/>
          <w:b/>
          <w:bCs/>
          <w:rtl w:val="true"/>
        </w:rPr>
        <w:t>שיקול זה קשור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בדרך כלל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בקשר הדוק עם שיקול ההרתעה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למען ישמעו וייראו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לשני שיקולים אלה מיתוסף שיקול נוסף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והוא </w:t>
      </w:r>
      <w:r>
        <w:rPr>
          <w:rFonts w:cs="David" w:ascii="David" w:hAnsi="David"/>
          <w:b/>
          <w:bCs/>
          <w:rtl w:val="true"/>
        </w:rPr>
        <w:t xml:space="preserve">- </w:t>
      </w:r>
      <w:r>
        <w:rPr>
          <w:rFonts w:ascii="David" w:hAnsi="David"/>
          <w:b/>
          <w:b/>
          <w:bCs/>
          <w:rtl w:val="true"/>
        </w:rPr>
        <w:t>קיום מדיניות אחידה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ככל האפשר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שתשמש כקו מנחה וכמורה דרך בעולמה של ענישה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ושיקול אחרון זה יפה הוא במיוחד לפסיקתו של בית המשפט העליון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שהמחוקק הפקידו על קביעת מדיניות זו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rtl w:val="true"/>
        </w:rPr>
        <w:t>בנוסף לכל השיקולים האמורים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קיים ועומד השיקול החשוב והמהותי של תיקונו של הנאשם ושיקומו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ובהתקיים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נסיבות מיוחדות ונכונות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ייתכן ששיקול אחרון זה יגבר על השיקולים האמורים האחרים ויקבע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באותו מקרה מסוים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את מידת העונש וצורתו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 xml:space="preserve">ענישתנו היא ענישה אינדיווידואלית של כל עבריין </w:t>
      </w:r>
      <w:r>
        <w:rPr>
          <w:rFonts w:cs="David" w:ascii="David" w:hAnsi="David"/>
          <w:b/>
          <w:bCs/>
          <w:u w:val="single"/>
          <w:rtl w:val="true"/>
        </w:rPr>
        <w:t>'</w:t>
      </w:r>
      <w:r>
        <w:rPr>
          <w:rFonts w:ascii="David" w:hAnsi="David"/>
          <w:b/>
          <w:b/>
          <w:bCs/>
          <w:u w:val="single"/>
          <w:rtl w:val="true"/>
        </w:rPr>
        <w:t>באשר הוא שם</w:t>
      </w:r>
      <w:r>
        <w:rPr>
          <w:rFonts w:cs="David" w:ascii="David" w:hAnsi="David"/>
          <w:b/>
          <w:bCs/>
          <w:u w:val="single"/>
          <w:rtl w:val="true"/>
        </w:rPr>
        <w:t>'" (</w:t>
      </w:r>
      <w:hyperlink r:id="rId48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291/81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[</w:t>
      </w:r>
      <w:r>
        <w:rPr>
          <w:rFonts w:cs="David" w:ascii="David" w:hAnsi="David"/>
          <w:b/>
          <w:bCs/>
          <w:u w:val="single"/>
        </w:rPr>
        <w:t>1</w:t>
      </w:r>
      <w:r>
        <w:rPr>
          <w:rFonts w:cs="David" w:ascii="David" w:hAnsi="David"/>
          <w:b/>
          <w:bCs/>
          <w:u w:val="single"/>
          <w:rtl w:val="true"/>
        </w:rPr>
        <w:t xml:space="preserve">], </w:t>
      </w:r>
      <w:r>
        <w:rPr>
          <w:rFonts w:ascii="David" w:hAnsi="David"/>
          <w:b/>
          <w:b/>
          <w:bCs/>
          <w:u w:val="single"/>
          <w:rtl w:val="true"/>
        </w:rPr>
        <w:t>בעמ</w:t>
      </w:r>
      <w:r>
        <w:rPr>
          <w:rFonts w:cs="David" w:ascii="David" w:hAnsi="David"/>
          <w:b/>
          <w:bCs/>
          <w:u w:val="single"/>
          <w:rtl w:val="true"/>
        </w:rPr>
        <w:t xml:space="preserve">' </w:t>
      </w:r>
      <w:r>
        <w:rPr>
          <w:rFonts w:cs="David" w:ascii="David" w:hAnsi="David"/>
          <w:b/>
          <w:bCs/>
          <w:u w:val="single"/>
        </w:rPr>
        <w:t>442</w:t>
      </w:r>
      <w:r>
        <w:rPr>
          <w:rFonts w:cs="David" w:ascii="David" w:hAnsi="David"/>
          <w:b/>
          <w:bCs/>
          <w:u w:val="single"/>
          <w:rtl w:val="true"/>
        </w:rPr>
        <w:t xml:space="preserve">). </w:t>
      </w:r>
      <w:r>
        <w:rPr>
          <w:rFonts w:ascii="David" w:hAnsi="David"/>
          <w:b/>
          <w:b/>
          <w:bCs/>
          <w:u w:val="single"/>
          <w:rtl w:val="true"/>
        </w:rPr>
        <w:t>זאת תורת הגישה האינדיווידואלית בתורת הענישה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המקובלת עלינו כקו מנחה בסוגיה קשה וסבוכה זו של</w:t>
      </w:r>
      <w:r>
        <w:rPr>
          <w:rFonts w:ascii="David" w:hAnsi="David"/>
          <w:b/>
          <w:b/>
          <w:bCs/>
          <w:u w:val="single"/>
          <w:rtl w:val="true"/>
        </w:rPr>
        <w:t xml:space="preserve"> </w:t>
      </w:r>
      <w:r>
        <w:rPr>
          <w:rFonts w:ascii="David" w:hAnsi="David"/>
          <w:b/>
          <w:b/>
          <w:bCs/>
          <w:u w:val="single"/>
          <w:rtl w:val="true"/>
        </w:rPr>
        <w:t>הענישה ומטרותיה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ואין אנו רשאים ל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הקל</w:t>
      </w:r>
      <w:r>
        <w:rPr>
          <w:rFonts w:cs="David" w:ascii="David" w:hAnsi="David"/>
          <w:b/>
          <w:bCs/>
          <w:u w:val="single"/>
          <w:rtl w:val="true"/>
        </w:rPr>
        <w:t xml:space="preserve">" </w:t>
      </w:r>
      <w:r>
        <w:rPr>
          <w:rFonts w:ascii="David" w:hAnsi="David"/>
          <w:b/>
          <w:b/>
          <w:bCs/>
          <w:u w:val="single"/>
          <w:rtl w:val="true"/>
        </w:rPr>
        <w:t>על עצמנו ולהחמיר עם הנאשם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מתוך הסתמכות על הנימוק והחשש שמא הקלה במקרה מסוים הראוי לכך תשמש תקדים למקרים אחרים שאינם ראויים לכך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חזקה על בית המשפט שיידע להבחין בין מקרה למקרה לגופן של נסיבות ולעיצומם של דברים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tabs>
          <w:tab w:val="left" w:pos="288" w:leader="none"/>
          <w:tab w:val="left" w:pos="720" w:leader="none"/>
          <w:tab w:val="left" w:pos="1296" w:leader="none"/>
        </w:tabs>
        <w:autoSpaceDE w:val="false"/>
        <w:spacing w:lineRule="auto" w:line="360" w:before="0" w:after="80"/>
        <w:ind w:start="1134" w:end="1134"/>
        <w:jc w:val="both"/>
        <w:rPr>
          <w:rFonts w:ascii="David" w:hAnsi="David" w:cs="David"/>
          <w:b/>
          <w:bCs/>
          <w:sz w:val="22"/>
          <w:szCs w:val="22"/>
        </w:rPr>
      </w:pPr>
      <w:r>
        <w:rPr>
          <w:rFonts w:cs="David" w:ascii="David" w:hAnsi="David"/>
          <w:b/>
          <w:bCs/>
          <w:sz w:val="22"/>
          <w:szCs w:val="22"/>
          <w:rtl w:val="true"/>
        </w:rPr>
      </w:r>
    </w:p>
    <w:p>
      <w:pPr>
        <w:pStyle w:val="David"/>
        <w:ind w:hanging="1" w:start="79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העבירה בה הורשע הנאשם אינה נמנית עם המקרים החמורים ביותר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הואיל וקיימת שונות בין עבירות נשק שונות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בהתאם לסוג הנשק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טיבו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ותכליתו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הנחיית פרקליט המדינה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אף נותנות ביטוי לשונות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ומתוות את מדיניות הענישה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מדרג חומרה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החזקת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נשיאת והובלת אקדח מצויות במחציתו של מדרג החומרה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David"/>
        <w:ind w:hanging="720" w:start="720" w:end="0"/>
        <w:jc w:val="both"/>
        <w:rPr/>
      </w:pPr>
      <w:r>
        <w:rPr>
          <w:rFonts w:eastAsia="David" w:cs="David"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יש אף לזכור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הגם שאליבא דמאשימה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להניח לחובתו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הוא נשא והוביל נשק למטרות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כשרות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או כלשונה של המאשימה בפסקה </w:t>
      </w:r>
      <w:r>
        <w:rPr>
          <w:rFonts w:cs="David" w:ascii="David" w:hAnsi="David"/>
        </w:rPr>
        <w:t>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לטיעונים לעונש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מקום שאדם נמצא נושא ומוביל בנשק ללא רישיון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מותר להניח לחובתו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כי הוא עושה זאת למטרות לא כשרות</w:t>
      </w:r>
      <w:r>
        <w:rPr>
          <w:rFonts w:cs="David" w:ascii="David" w:hAnsi="David"/>
          <w:b/>
          <w:bCs/>
          <w:rtl w:val="true"/>
        </w:rPr>
        <w:t>...</w:t>
      </w:r>
      <w:r>
        <w:rPr>
          <w:rFonts w:ascii="David" w:hAnsi="David"/>
          <w:b/>
          <w:b/>
          <w:bCs/>
          <w:rtl w:val="true"/>
        </w:rPr>
        <w:t>ואין זה מן הנמנע שהנאשם תכנן להשתמש בו למטרות לא כשרות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או להעבירם למישהו אחר שישתמש בו למטרות לא כשרות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אין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 מייחס זאת לנאשם</w:t>
      </w:r>
      <w:r>
        <w:rPr>
          <w:rFonts w:cs="David" w:ascii="David" w:hAnsi="David"/>
          <w:rtl w:val="true"/>
        </w:rPr>
        <w:t>.</w:t>
      </w:r>
    </w:p>
    <w:p>
      <w:pPr>
        <w:pStyle w:val="David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 לכך שהנאשם נשא והוביל אקדח חצי אוטומטי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ובתוכו מחסנית מביתו בנחף עד שנתפס עת התקרב לצומת אליקים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באישון ליל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היינו ביצוע העבירה נמשך לפרק זמן לא מבוטל ובאזור גיאוגרפי נרחב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אין מדובר באירוע ספונטני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התרחש במקרה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עוד יש להתחשב בכך שיחד עם הנאשם נסע ברכב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חברו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מיסרה אסמאעיל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כפי שהדגשתי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פוטנציאל הנזק מעבירה זו הוא עצום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108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בהתחשב במכלול הנסיבות שמניתי לעיל הקשורות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חומרת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והערכים החברתיים שנפגעו כתוצאה מביצועה ולאחר שעמדתי על מדיניות הענישה הנהוגה בנסיבות דומות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אני קובע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מתחם הענישה הראוי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המקרה דנן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הוא מאסר בפועל לתקופה שנעה בין </w:t>
      </w:r>
      <w:r>
        <w:rPr>
          <w:rFonts w:cs="David" w:ascii="David" w:hAnsi="David"/>
          <w:sz w:val="24"/>
          <w:szCs w:val="24"/>
        </w:rPr>
        <w:t>16-36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זאת לצד עונשים נלווים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בית המשפט רשאי לחרוג ממתחם העונש ההולם או לקולא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בשל שיקולי שיקום וטיפול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לחומרא בשל הגנה על שלום הציבור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93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כמפורט בפסקה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לעיל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העריך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קיימים פרמטרים לסיכון משמעותי להישנות התנהגות פורצת חוק מצידו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ובשים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לקיומה של השפעה שלילית של האווירה האלימה שבסביבת חייו של הנאשם על תפקודו הכללי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בהליך טיפולי במסגרת שירות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המבחן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משום אמצעי שיביא להפחתת הסיכון להישנות התנהגות עוברת חוק מצידו של הנאשם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לפיכך איני מוצא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מקום לסטייה לקולא ממתחם הענישה האמור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 סבורני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בנסיבות העניין אף לא מתקיימים התנאים לסטייה לחומרא ממתחם העונש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קובע אני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עונשו של הנאשם יקבע במתחם האמור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בגזירת העונש המתאים לנאשם יש להתחשב בנסיבות שאינן קשורות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ובענייננו יש להביא בחשבון כשיקול לקולא את הודאתו של הנאשם במיוחס לו בכתב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וכן את התקופה בה הוא שהה בפיקוח אלקטרוני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עוד ובנוסף אציין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הנאשם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ולפיכך מדובר במאסרו הראשון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גם לכך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ליתן משקל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 xml:space="preserve">המשנה לנשיאה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בדימוס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>השופט ס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'</w:t>
      </w:r>
      <w:r>
        <w:rPr>
          <w:rFonts w:ascii="David" w:hAnsi="David"/>
          <w:rtl w:val="true"/>
        </w:rPr>
        <w:t>ובראן ב</w:t>
      </w:r>
      <w:r>
        <w:rPr>
          <w:rFonts w:cs="David" w:ascii="David" w:hAnsi="David"/>
          <w:rtl w:val="true"/>
        </w:rPr>
        <w:t>-</w:t>
      </w:r>
      <w:hyperlink r:id="rId49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7781/12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פלוני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25.06.2013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/>
      </w:pPr>
      <w:r>
        <w:rPr>
          <w:rFonts w:cs="FrankRuehl" w:ascii="Arial TUR;Arial" w:hAnsi="Arial TUR;Arial"/>
          <w:spacing w:val="10"/>
          <w:szCs w:val="28"/>
          <w:rtl w:val="true"/>
        </w:rPr>
        <w:t>"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יתר על כך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מחקרים רבים הראו כי קיים קשר סיבתי שלילי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על פיו מאסר ראשון לא רק שאינו מביא להתרעת היחיד</w:t>
      </w:r>
      <w:r>
        <w:rPr>
          <w:rFonts w:cs="David" w:ascii="David" w:hAnsi="David"/>
          <w:b/>
          <w:bCs/>
          <w:spacing w:val="1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u w:val="single"/>
          <w:rtl w:val="true"/>
        </w:rPr>
        <w:t>אלא מביא בסבירות גבוהה למאסרים נוספים ורצידיביזם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  <w:rtl w:val="true"/>
        </w:rPr>
        <w:t>(</w:t>
      </w:r>
      <w:r>
        <w:rPr>
          <w:rFonts w:ascii="David" w:hAnsi="David"/>
          <w:b/>
          <w:b/>
          <w:bCs/>
          <w:spacing w:val="10"/>
          <w:rtl w:val="true"/>
        </w:rPr>
        <w:t>ראו</w:t>
      </w:r>
      <w:r>
        <w:rPr>
          <w:rFonts w:cs="David" w:ascii="David" w:hAnsi="David"/>
          <w:b/>
          <w:bCs/>
          <w:spacing w:val="10"/>
          <w:rtl w:val="true"/>
        </w:rPr>
        <w:t xml:space="preserve">: </w:t>
      </w:r>
      <w:r>
        <w:rPr>
          <w:rFonts w:ascii="David" w:hAnsi="David"/>
          <w:b/>
          <w:b/>
          <w:bCs/>
          <w:spacing w:val="10"/>
          <w:rtl w:val="true"/>
        </w:rPr>
        <w:t xml:space="preserve">חגית לרנאו וישי שרון 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שמונה הכרעות ערכיות בחקיקת חוק הבניית שיקול הדעת השיפוטי בענישה</w:t>
      </w:r>
      <w:r>
        <w:rPr>
          <w:rFonts w:cs="David" w:ascii="David" w:hAnsi="David"/>
          <w:b/>
          <w:bCs/>
          <w:spacing w:val="10"/>
          <w:rtl w:val="true"/>
        </w:rPr>
        <w:t xml:space="preserve">" </w:t>
      </w:r>
      <w:r>
        <w:rPr>
          <w:rFonts w:ascii="David" w:hAnsi="David"/>
          <w:b/>
          <w:b/>
          <w:bCs/>
          <w:rtl w:val="true"/>
        </w:rPr>
        <w:t>הסניגור</w:t>
      </w:r>
      <w:r>
        <w:rPr>
          <w:rFonts w:ascii="David" w:hAnsi="David"/>
          <w:b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183</w:t>
      </w:r>
      <w:r>
        <w:rPr>
          <w:rFonts w:cs="David" w:ascii="David" w:hAnsi="David"/>
          <w:b/>
          <w:bCs/>
          <w:spacing w:val="10"/>
          <w:rtl w:val="true"/>
        </w:rPr>
        <w:t xml:space="preserve"> </w:t>
      </w:r>
      <w:r>
        <w:rPr>
          <w:rFonts w:cs="David" w:ascii="David" w:hAnsi="David"/>
          <w:b/>
          <w:bCs/>
          <w:spacing w:val="10"/>
        </w:rPr>
        <w:t>14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cs="David" w:ascii="David" w:hAnsi="David"/>
          <w:b/>
          <w:bCs/>
          <w:spacing w:val="10"/>
        </w:rPr>
        <w:t>19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cs="David" w:ascii="David" w:hAnsi="David"/>
          <w:b/>
          <w:bCs/>
          <w:spacing w:val="10"/>
        </w:rPr>
        <w:t xml:space="preserve">Francis T. Cullen at el, </w:t>
      </w:r>
      <w:r>
        <w:rPr>
          <w:rFonts w:cs="David" w:ascii="David" w:hAnsi="David"/>
          <w:b/>
          <w:bCs/>
          <w:i/>
          <w:iCs/>
          <w:spacing w:val="10"/>
        </w:rPr>
        <w:t>Prisons do not Reduce Recidivism: The High Cost of Ignoring Science</w:t>
      </w:r>
      <w:r>
        <w:rPr>
          <w:rFonts w:cs="David" w:ascii="David" w:hAnsi="David"/>
          <w:b/>
          <w:bCs/>
          <w:spacing w:val="10"/>
        </w:rPr>
        <w:t xml:space="preserve">, 91 The </w:t>
      </w:r>
      <w:r>
        <w:rPr>
          <w:rFonts w:cs="David" w:ascii="David" w:hAnsi="David"/>
          <w:b/>
          <w:bCs/>
          <w:smallCaps/>
          <w:spacing w:val="10"/>
        </w:rPr>
        <w:t>Prison Journal</w:t>
      </w:r>
      <w:r>
        <w:rPr>
          <w:rFonts w:cs="David" w:ascii="David" w:hAnsi="David"/>
          <w:b/>
          <w:bCs/>
          <w:spacing w:val="10"/>
        </w:rPr>
        <w:t xml:space="preserve"> 48 (2011)</w:t>
      </w:r>
      <w:r>
        <w:rPr>
          <w:rFonts w:cs="David" w:ascii="David" w:hAnsi="David"/>
          <w:b/>
          <w:bCs/>
          <w:spacing w:val="10"/>
          <w:rtl w:val="true"/>
        </w:rPr>
        <w:t xml:space="preserve">)". </w:t>
      </w:r>
      <w:r>
        <w:rPr>
          <w:rFonts w:cs="David" w:ascii="David" w:hAnsi="David"/>
          <w:spacing w:val="10"/>
          <w:rtl w:val="true"/>
        </w:rPr>
        <w:t>(</w:t>
      </w:r>
      <w:r>
        <w:rPr>
          <w:rFonts w:ascii="David" w:hAnsi="David"/>
          <w:spacing w:val="10"/>
          <w:rtl w:val="true"/>
        </w:rPr>
        <w:t>ההדגשה אינה במקור</w:t>
      </w:r>
      <w:r>
        <w:rPr>
          <w:rFonts w:cs="David" w:ascii="David" w:hAnsi="David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לצד זאת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אין בידי לקבל את טענת הסניגור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בעניינו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בשים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לב לגילו הצעיר ולעובדה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הוא נעדר עבר פלילי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לבכר את אינטרס השיקום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ולא להטיל עליו מאסר מאחורי סורג ובריח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אפנה לפסק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דינו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ג</w:t>
      </w:r>
      <w:r>
        <w:rPr>
          <w:rFonts w:cs="David" w:ascii="David" w:hAnsi="David"/>
          <w:rtl w:val="true"/>
        </w:rPr>
        <w:t xml:space="preserve">'. </w:t>
      </w:r>
      <w:r>
        <w:rPr>
          <w:rFonts w:ascii="David" w:hAnsi="David"/>
          <w:rtl w:val="true"/>
        </w:rPr>
        <w:t>קרא ב</w:t>
      </w:r>
      <w:r>
        <w:rPr>
          <w:rFonts w:cs="David" w:ascii="David" w:hAnsi="David"/>
          <w:rtl w:val="true"/>
        </w:rPr>
        <w:t>-</w:t>
      </w:r>
      <w:hyperlink r:id="rId50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5330/20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סמיר ענבתאוי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 xml:space="preserve">מדינת ישראל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22.11.2020</w:t>
      </w:r>
      <w:r>
        <w:rPr>
          <w:rFonts w:cs="David" w:ascii="David" w:hAnsi="David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134" w:end="1134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בלב הדברים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עומדת החומרה היתרה הנודעת לביצוע עבירות בנשק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לסוגיהם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בית משפט זה חזר ועמד בפסיקתו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לרבות בשנים האחרונות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על הסכנה הממשית הגלומה בעבירות אלה לשלום הציבור ולביטחונו ועל הצורך האקוטי במיגורן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ובכלל זה על הצורך בהחמרת הענישה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ככלל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עונשם של המעורבים בעבירות בנשק הוא מאסר ממושך לריצוי בפועל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אף אם הם נעדרים עבר פלילי מכל סוג שהוא וזו להם העבירה הראשונה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hyperlink r:id="rId51"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2564/19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אזברגה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10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18.7.2019</w:t>
      </w:r>
      <w:r>
        <w:rPr>
          <w:rFonts w:cs="David" w:ascii="David" w:hAnsi="David"/>
          <w:b/>
          <w:bCs/>
          <w:rtl w:val="true"/>
        </w:rPr>
        <w:t xml:space="preserve">)), </w:t>
      </w:r>
      <w:r>
        <w:rPr>
          <w:rFonts w:ascii="David" w:hAnsi="David"/>
          <w:b/>
          <w:b/>
          <w:bCs/>
          <w:rtl w:val="true"/>
        </w:rPr>
        <w:t>וכך גם אם מדובר בבגירים צעירים במקרים המתאימים</w:t>
      </w:r>
      <w:r>
        <w:rPr>
          <w:rFonts w:cs="David" w:ascii="David" w:hAnsi="David"/>
          <w:b/>
          <w:bCs/>
          <w:rtl w:val="true"/>
        </w:rPr>
        <w:t>".</w:t>
      </w:r>
      <w:r>
        <w:rPr>
          <w:rFonts w:cs="David" w:ascii="David" w:hAnsi="David"/>
          <w:spacing w:val="10"/>
          <w:rtl w:val="true"/>
        </w:rPr>
        <w:t xml:space="preserve"> (</w:t>
      </w:r>
      <w:r>
        <w:rPr>
          <w:rFonts w:ascii="David" w:hAnsi="David"/>
          <w:spacing w:val="10"/>
          <w:rtl w:val="true"/>
        </w:rPr>
        <w:t>ההדגשה אינה במקור</w:t>
      </w:r>
      <w:r>
        <w:rPr>
          <w:rFonts w:cs="David" w:ascii="David" w:hAnsi="David"/>
          <w:spacing w:val="10"/>
          <w:rtl w:val="true"/>
        </w:rPr>
        <w:t>).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1440"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636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מנגד יש להתחשב כשיקול לחומרא בעקרון ההרתעה בעבירות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ובצורך ההולך וגובר למגרן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עת דומה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ככל שנוקפים הימים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גואים ביתר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שאת מעשי האלימות המבוצעים באמצעות כלי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נשק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לאורכה ולרוחבה של מדינת ישראל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הזדמן לי לכתוב בעבר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ואדגיש זאת ביתר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שאת כעת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גדיעת תופעה זו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בעודה באיבה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עשויה להיות הפסע הראשון במסע הארוך להחזרת ביטחון הציבור ושלומו במרחב הציבורי והפרטי גם יחד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יפים לענייננו דבריו של כב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המשנה לנשיאה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בדימוס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השופט 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רובינשטיין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sz w:val="24"/>
          <w:szCs w:val="24"/>
          <w:rtl w:val="true"/>
        </w:rPr>
        <w:t>-</w:t>
      </w:r>
      <w:hyperlink r:id="rId5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6371/11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אנס הייבי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18.12.2011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פסקה כ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ג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עבירות בנשק חומרתן מכופלת</w:t>
      </w:r>
      <w:r>
        <w:rPr>
          <w:rFonts w:cs="David" w:ascii="David" w:hAnsi="David"/>
          <w:b/>
          <w:bCs/>
          <w:spacing w:val="10"/>
          <w:rtl w:val="true"/>
        </w:rPr>
        <w:t>,</w:t>
      </w:r>
      <w:r>
        <w:rPr>
          <w:rFonts w:ascii="David" w:hAnsi="David"/>
          <w:b/>
          <w:b/>
          <w:bCs/>
          <w:spacing w:val="10"/>
          <w:rtl w:val="true"/>
        </w:rPr>
        <w:t>הן בעצם המעבר על החוק והן ובמוטעם במאטריה הספציפית</w:t>
      </w:r>
      <w:r>
        <w:rPr>
          <w:rFonts w:cs="David" w:ascii="David" w:hAnsi="David"/>
          <w:b/>
          <w:bCs/>
          <w:spacing w:val="10"/>
          <w:rtl w:val="true"/>
        </w:rPr>
        <w:t xml:space="preserve">; </w:t>
      </w:r>
      <w:r>
        <w:rPr>
          <w:rFonts w:ascii="David" w:hAnsi="David"/>
          <w:b/>
          <w:b/>
          <w:bCs/>
          <w:spacing w:val="10"/>
          <w:rtl w:val="true"/>
        </w:rPr>
        <w:t>נשק שאינו כדין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 xml:space="preserve">קרי </w:t>
      </w:r>
      <w:r>
        <w:rPr>
          <w:rFonts w:cs="David" w:ascii="David" w:hAnsi="David"/>
          <w:b/>
          <w:bCs/>
          <w:spacing w:val="10"/>
          <w:rtl w:val="true"/>
        </w:rPr>
        <w:t xml:space="preserve">- </w:t>
      </w:r>
      <w:r>
        <w:rPr>
          <w:rFonts w:ascii="David" w:hAnsi="David"/>
          <w:b/>
          <w:b/>
          <w:bCs/>
          <w:spacing w:val="10"/>
          <w:rtl w:val="true"/>
        </w:rPr>
        <w:t>ברישיון כדבעי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מועד לפורענות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זכורה האמירה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אם ראית במחזה תיאטרון אקדח במערכה הראשונה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סופו שיירה במערכה השניה או השלישית</w:t>
      </w:r>
      <w:r>
        <w:rPr>
          <w:rFonts w:cs="David" w:ascii="David" w:hAnsi="David"/>
          <w:b/>
          <w:bCs/>
          <w:spacing w:val="10"/>
          <w:rtl w:val="true"/>
        </w:rPr>
        <w:t xml:space="preserve">. </w:t>
      </w:r>
      <w:r>
        <w:rPr>
          <w:rFonts w:ascii="David" w:hAnsi="David"/>
          <w:b/>
          <w:b/>
          <w:bCs/>
          <w:spacing w:val="10"/>
          <w:rtl w:val="true"/>
        </w:rPr>
        <w:t>הימצאו של נשק בידיים לא נכונות</w:t>
      </w:r>
      <w:r>
        <w:rPr>
          <w:rFonts w:cs="David" w:ascii="David" w:hAnsi="David"/>
          <w:b/>
          <w:bCs/>
          <w:spacing w:val="10"/>
          <w:rtl w:val="true"/>
        </w:rPr>
        <w:t xml:space="preserve">, </w:t>
      </w:r>
      <w:r>
        <w:rPr>
          <w:rFonts w:ascii="David" w:hAnsi="David"/>
          <w:b/>
          <w:b/>
          <w:bCs/>
          <w:spacing w:val="10"/>
          <w:rtl w:val="true"/>
        </w:rPr>
        <w:t>עלול להביא בסופו של יום אף לקיפוד חיי אדם ר</w:t>
      </w:r>
      <w:r>
        <w:rPr>
          <w:rFonts w:cs="David" w:ascii="David" w:hAnsi="David"/>
          <w:b/>
          <w:bCs/>
          <w:spacing w:val="10"/>
          <w:rtl w:val="true"/>
        </w:rPr>
        <w:t>"</w:t>
      </w:r>
      <w:r>
        <w:rPr>
          <w:rFonts w:ascii="David" w:hAnsi="David"/>
          <w:b/>
          <w:b/>
          <w:bCs/>
          <w:spacing w:val="10"/>
          <w:rtl w:val="true"/>
        </w:rPr>
        <w:t>ל</w:t>
      </w:r>
      <w:r>
        <w:rPr>
          <w:rFonts w:cs="David" w:ascii="David" w:hAnsi="David"/>
          <w:b/>
          <w:bCs/>
          <w:spacing w:val="10"/>
          <w:rtl w:val="true"/>
        </w:rPr>
        <w:t xml:space="preserve">...." </w:t>
      </w:r>
    </w:p>
    <w:p>
      <w:pPr>
        <w:pStyle w:val="Normal"/>
        <w:spacing w:lineRule="auto" w:line="360"/>
        <w:ind w:start="1134" w:end="1134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567"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זאת ועוד בעניינו של הנאשם בפניי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סבור אני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קיים צורך בהרתעתו האישית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בשים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לב לדברים הברורים שנכתבו בתסקיר שירות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ולפיהם קיימים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פרמטרים לסיכון משמעותי להישנות התנהגות פורצת חוק מצידו</w:t>
      </w:r>
      <w:r>
        <w:rPr>
          <w:rFonts w:cs="David" w:ascii="David" w:hAnsi="David"/>
          <w:sz w:val="24"/>
          <w:szCs w:val="24"/>
          <w:rtl w:val="true"/>
        </w:rPr>
        <w:t>" (</w:t>
      </w:r>
      <w:r>
        <w:rPr>
          <w:rFonts w:ascii="David" w:hAnsi="David" w:cs="David"/>
          <w:sz w:val="24"/>
          <w:sz w:val="24"/>
          <w:szCs w:val="24"/>
          <w:rtl w:val="true"/>
        </w:rPr>
        <w:t>עמ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לתסקיר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651" w:end="0"/>
        <w:jc w:val="both"/>
        <w:rPr/>
      </w:pPr>
      <w:hyperlink r:id="rId53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sz w:val="24"/>
            <w:szCs w:val="24"/>
          </w:rPr>
          <w:t>40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ו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ל</w:t>
      </w:r>
      <w:hyperlink r:id="rId5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כותרתו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הרתעה אישית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מורנו כך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/>
        <w:ind w:start="1134" w:end="1134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מצא בית המשפט כי יש צורך בהרתעת הנאשם מפני ביצוע עבירה נוספת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וכי יש סיכוי של ממש שהטלת עונש מסוים תביא להרתעתו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רשאי הוא להתחשב בשיקול זה בבואו לקבוע את עונשו של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ובלבד שהעונש לא יחרוג ממתחם העונש ההולם</w:t>
      </w:r>
      <w:r>
        <w:rPr>
          <w:rFonts w:cs="David" w:ascii="David" w:hAnsi="David"/>
          <w:b/>
          <w:bCs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b/>
          <w:bCs/>
          <w:rtl w:val="true"/>
        </w:rPr>
        <w:tab/>
      </w:r>
      <w:r>
        <w:rPr>
          <w:rFonts w:ascii="David" w:hAnsi="David"/>
          <w:rtl w:val="true"/>
        </w:rPr>
        <w:t>לפיכך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 להתחשב גם במשתנה זה בעת קביעת עונשו של הנאשם</w:t>
      </w:r>
      <w:r>
        <w:rPr>
          <w:rFonts w:cs="David" w:ascii="David" w:hAnsi="David"/>
          <w:rtl w:val="true"/>
        </w:rPr>
        <w:t>.</w:t>
      </w:r>
    </w:p>
    <w:p>
      <w:pPr>
        <w:pStyle w:val="ListParagraph"/>
        <w:spacing w:lineRule="auto" w:line="360"/>
        <w:ind w:start="651" w:end="0"/>
        <w:jc w:val="both"/>
        <w:rPr>
          <w:rFonts w:ascii="David" w:hAnsi="David" w:cs="David"/>
          <w:b/>
          <w:bCs/>
          <w:sz w:val="24"/>
          <w:szCs w:val="24"/>
        </w:rPr>
      </w:pPr>
      <w:r>
        <w:rPr>
          <w:rFonts w:cs="David" w:ascii="David" w:hAnsi="David"/>
          <w:b/>
          <w:bCs/>
          <w:sz w:val="24"/>
          <w:szCs w:val="24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778"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בנוסף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עתרה המאשימה לחילוט רכב מסוג רנו קנגו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מספר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רישוי </w:t>
      </w:r>
      <w:r>
        <w:rPr>
          <w:rFonts w:cs="David" w:ascii="David" w:hAnsi="David"/>
          <w:sz w:val="24"/>
          <w:szCs w:val="24"/>
        </w:rPr>
        <w:t>1044514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בה בוצעה העבירה מושא כתב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האישום המתוקן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hanging="851" w:start="226" w:end="0"/>
        <w:jc w:val="both"/>
        <w:rPr/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סעיף </w:t>
      </w:r>
      <w:hyperlink r:id="rId55">
        <w:r>
          <w:rPr>
            <w:rStyle w:val="Hyperlink"/>
            <w:rFonts w:cs="David" w:ascii="David" w:hAnsi="David"/>
          </w:rPr>
          <w:t>32</w:t>
        </w:r>
        <w:r>
          <w:rPr>
            <w:rStyle w:val="Hyperlink"/>
            <w:rFonts w:cs="David" w:ascii="David" w:hAnsi="David"/>
            <w:rtl w:val="true"/>
          </w:rPr>
          <w:t xml:space="preserve"> (</w:t>
        </w:r>
        <w:r>
          <w:rPr>
            <w:rStyle w:val="Hyperlink"/>
            <w:rFonts w:ascii="David" w:hAnsi="David"/>
            <w:rtl w:val="true"/>
          </w:rPr>
          <w:t>א</w:t>
        </w:r>
        <w:r>
          <w:rPr>
            <w:rStyle w:val="Hyperlink"/>
            <w:rFonts w:cs="David" w:ascii="David" w:hAnsi="David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56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rtl w:val="true"/>
        </w:rPr>
        <w:t xml:space="preserve"> [</w:t>
      </w:r>
      <w:r>
        <w:rPr>
          <w:rFonts w:ascii="David" w:hAnsi="David"/>
          <w:rtl w:val="true"/>
        </w:rPr>
        <w:t>נוסח חדש</w:t>
      </w:r>
      <w:r>
        <w:rPr>
          <w:rFonts w:cs="David" w:ascii="David" w:hAnsi="David"/>
          <w:rtl w:val="true"/>
        </w:rPr>
        <w:t xml:space="preserve">], </w:t>
      </w:r>
      <w:r>
        <w:rPr>
          <w:rFonts w:ascii="David" w:hAnsi="David"/>
          <w:rtl w:val="true"/>
        </w:rPr>
        <w:t>תשכ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ט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1969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מורנו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hanging="851" w:start="226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David" w:hAnsi="David" w:cs="David"/>
        </w:rPr>
      </w:pPr>
      <w:r>
        <w:rPr>
          <w:rStyle w:val="default"/>
          <w:rFonts w:cs="David" w:ascii="David" w:hAnsi="David"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רשאי שוטר לתפוס חפץ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יש לו יסוד סביר להניח כי באותו חפץ נעברה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עומדים לעבור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שהוא עשוי לשמש ראיה בהליך משפטי בשל עבירה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או שניתן כשכר בעד ביצוע עבירה או כאמצעי לביצועה</w:t>
      </w:r>
      <w:r>
        <w:rPr>
          <w:rStyle w:val="default"/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636" w:start="84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ובהמשך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סעיף </w:t>
      </w:r>
      <w:r>
        <w:rPr>
          <w:rFonts w:cs="David" w:ascii="David" w:hAnsi="David"/>
        </w:rPr>
        <w:t>39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636" w:start="84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David" w:hAnsi="David" w:cs="David"/>
          <w:b/>
          <w:bCs/>
        </w:rPr>
      </w:pPr>
      <w:r>
        <w:rPr>
          <w:rStyle w:val="default"/>
          <w:rFonts w:cs="David" w:ascii="David" w:hAnsi="David"/>
          <w:b/>
          <w:bCs/>
          <w:rtl w:val="true"/>
        </w:rPr>
        <w:t>"</w:t>
      </w:r>
      <w:r>
        <w:rPr>
          <w:rStyle w:val="default"/>
          <w:rFonts w:ascii="David" w:hAnsi="David"/>
          <w:b/>
          <w:b/>
          <w:bCs/>
          <w:rtl w:val="true"/>
        </w:rPr>
        <w:t>על אף האמור בכל דין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רשאי בית המשפט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בנוסף על כל עונש שיטיל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לצוות על חילוט החפץ שנתפס לפי סעיף </w:t>
      </w:r>
      <w:r>
        <w:rPr>
          <w:rStyle w:val="default"/>
          <w:rFonts w:cs="David" w:ascii="David" w:hAnsi="David"/>
          <w:b/>
          <w:bCs/>
        </w:rPr>
        <w:t>32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 xml:space="preserve">או שהגיע לידי המשטרה כאמור בסעיף </w:t>
      </w:r>
      <w:r>
        <w:rPr>
          <w:rStyle w:val="default"/>
          <w:rFonts w:cs="David" w:ascii="David" w:hAnsi="David"/>
          <w:b/>
          <w:bCs/>
        </w:rPr>
        <w:t>33</w:t>
      </w:r>
      <w:r>
        <w:rPr>
          <w:rStyle w:val="default"/>
          <w:rFonts w:cs="David" w:ascii="David" w:hAnsi="David"/>
          <w:b/>
          <w:bCs/>
          <w:rtl w:val="true"/>
        </w:rPr>
        <w:t xml:space="preserve">, </w:t>
      </w:r>
      <w:r>
        <w:rPr>
          <w:rStyle w:val="default"/>
          <w:rFonts w:ascii="David" w:hAnsi="David"/>
          <w:b/>
          <w:b/>
          <w:bCs/>
          <w:rtl w:val="true"/>
        </w:rPr>
        <w:t>אם האדם שהורשע במעשה העבירה שנעשה בחפץ או לגביו הוא בעל החפץ</w:t>
      </w:r>
      <w:r>
        <w:rPr>
          <w:rStyle w:val="default"/>
          <w:rFonts w:cs="David" w:ascii="David" w:hAnsi="David"/>
          <w:b/>
          <w:bCs/>
          <w:rtl w:val="true"/>
        </w:rPr>
        <w:t xml:space="preserve">; </w:t>
      </w:r>
      <w:r>
        <w:rPr>
          <w:rStyle w:val="default"/>
          <w:rFonts w:ascii="David" w:hAnsi="David"/>
          <w:b/>
          <w:b/>
          <w:bCs/>
          <w:rtl w:val="true"/>
        </w:rPr>
        <w:t>דין צו זה כדין עונש שהוטל על הנאשם</w:t>
      </w:r>
      <w:r>
        <w:rPr>
          <w:rStyle w:val="default"/>
          <w:rFonts w:cs="David" w:ascii="David" w:hAnsi="David"/>
          <w:b/>
          <w:bCs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start="651" w:end="0"/>
        <w:jc w:val="both"/>
        <w:rPr/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כ הנאשם טען מנגד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 xml:space="preserve">- </w:t>
      </w:r>
      <w:r>
        <w:rPr/>
        <w:t>20,000</w:t>
      </w:r>
      <w:r>
        <w:rPr>
          <w:rtl w:val="true"/>
        </w:rPr>
        <w:t xml:space="preserve"> ₪,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tl w:val="true"/>
        </w:rPr>
        <w:t>-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פעם</w:t>
      </w:r>
      <w:r>
        <w:rPr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מחד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מתקיימים התנאים המצטברים הנדרשים לחילוט הרכב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ברכב בוצעה העבירה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 – בעל הרכב הורשע בדין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והרשעתו מתייחסת לעבירה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בוצעה ברכב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651" w:end="0"/>
        <w:jc w:val="both"/>
        <w:rPr/>
      </w:pPr>
      <w:r>
        <w:rPr>
          <w:rFonts w:ascii="David" w:hAnsi="David"/>
          <w:rtl w:val="true"/>
        </w:rPr>
        <w:t>אפנה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לוי ז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 ב</w:t>
      </w:r>
      <w:r>
        <w:rPr>
          <w:rFonts w:cs="David" w:ascii="David" w:hAnsi="David"/>
          <w:rtl w:val="true"/>
        </w:rPr>
        <w:t xml:space="preserve">- </w:t>
      </w:r>
      <w:hyperlink r:id="rId57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6234/03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מראד זיתאווי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09.03.2005</w:t>
      </w:r>
      <w:r>
        <w:rPr>
          <w:rFonts w:cs="David" w:ascii="David" w:hAnsi="David"/>
          <w:rtl w:val="true"/>
        </w:rPr>
        <w:t>)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>: "</w:t>
      </w:r>
      <w:r>
        <w:rPr>
          <w:rFonts w:ascii="David" w:hAnsi="David"/>
          <w:b/>
          <w:b/>
          <w:bCs/>
          <w:rtl w:val="true"/>
        </w:rPr>
        <w:t>עניין זיתאווי</w:t>
      </w:r>
      <w:r>
        <w:rPr>
          <w:rFonts w:cs="David" w:ascii="David" w:hAnsi="David"/>
          <w:rtl w:val="true"/>
        </w:rPr>
        <w:t xml:space="preserve">"),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start="651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ruller411"/>
        <w:ind w:start="1134" w:end="1134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השילוב שבין הסעיפים מלמד כי הפעלתה של סמכות החילוט מותנית בקיומם של תנאים מצטברים אלה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בחפץ שנתפש בוצעה עבירה או עומדים לבצע עבירה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בעל החפץ הורשע בדינו והרשעתו מתייחסת למעשה שנעשה בחפץ או לגביו</w:t>
      </w:r>
      <w:r>
        <w:rPr>
          <w:rFonts w:cs="David" w:ascii="David" w:hAnsi="David"/>
          <w:b/>
          <w:bCs/>
          <w:sz w:val="24"/>
          <w:szCs w:val="24"/>
          <w:rtl w:val="true"/>
        </w:rPr>
        <w:t>. (</w:t>
      </w:r>
      <w:hyperlink r:id="rId58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623/78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סורני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לג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523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hyperlink r:id="rId59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4148/92</w:t>
        </w:r>
      </w:hyperlink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חוסין מועד נ</w:t>
      </w:r>
      <w:r>
        <w:rPr>
          <w:rFonts w:cs="David" w:ascii="David" w:hAnsi="David"/>
          <w:b/>
          <w:bCs/>
          <w:spacing w:val="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פורסם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).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סעיף </w:t>
      </w:r>
      <w:r>
        <w:rPr>
          <w:rFonts w:cs="David" w:ascii="David" w:hAnsi="David"/>
          <w:b/>
          <w:bCs/>
          <w:color w:val="000000"/>
          <w:sz w:val="24"/>
          <w:szCs w:val="24"/>
        </w:rPr>
        <w:t>39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לפקודה אשר נועד לפגוע בזכות קניינו של העבריין קובע כי דינו של החילוט כדין עונש שהוטל על הנאשם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וככל הוראה עונשית יש להעניק לה פרשנות מצמצמת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הואיל והיא נועדה לפגוע במעורבים במעשה הפלילי עצמו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ולא באלה שאין להם זיקה אליו או שזיקתם רופפת 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hyperlink r:id="rId60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1982/93</w:t>
        </w:r>
      </w:hyperlink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בנק לאומי לישראל בע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 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ד מח</w:t>
      </w:r>
      <w:r>
        <w:rPr>
          <w:rFonts w:cs="David" w:ascii="David" w:hAnsi="David"/>
          <w:b/>
          <w:bCs/>
          <w:sz w:val="24"/>
          <w:szCs w:val="24"/>
          <w:rtl w:val="true"/>
        </w:rPr>
        <w:t>(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), </w:t>
      </w:r>
      <w:r>
        <w:rPr>
          <w:rFonts w:cs="David" w:ascii="David" w:hAnsi="David"/>
          <w:b/>
          <w:bCs/>
          <w:sz w:val="24"/>
          <w:szCs w:val="24"/>
        </w:rPr>
        <w:t>238</w:t>
      </w:r>
      <w:r>
        <w:rPr>
          <w:rFonts w:cs="David" w:ascii="David" w:hAnsi="David"/>
          <w:b/>
          <w:bCs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עוד ובנוסף אדגיש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אמת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המידה שקבעה פסיקת בית המשפט העליון למתן צו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חילוט היא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פי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מהותה ועוצמתה של הזיקה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בין הנשק לבין רכבו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David" w:hAnsi="David"/>
          <w:rtl w:val="true"/>
        </w:rPr>
        <w:t>אפנה ל</w:t>
      </w:r>
      <w:r>
        <w:rPr>
          <w:rFonts w:cs="David" w:ascii="David" w:hAnsi="David"/>
          <w:rtl w:val="true"/>
        </w:rPr>
        <w:t>-</w:t>
      </w:r>
      <w:hyperlink r:id="rId61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4148/92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מועד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מדינת ישראל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22.09.1994</w:t>
      </w:r>
      <w:r>
        <w:rPr>
          <w:rFonts w:cs="David" w:ascii="David" w:hAnsi="David"/>
          <w:rtl w:val="true"/>
        </w:rPr>
        <w:t xml:space="preserve">):  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tabs>
          <w:tab w:val="clear" w:pos="720"/>
          <w:tab w:val="left" w:pos="288" w:leader="none"/>
          <w:tab w:val="left" w:pos="1152" w:leader="none"/>
          <w:tab w:val="left" w:pos="1872" w:leader="none"/>
        </w:tabs>
        <w:autoSpaceDE w:val="false"/>
        <w:spacing w:lineRule="auto" w:line="360" w:before="0" w:after="80"/>
        <w:ind w:start="1134" w:end="1134"/>
        <w:jc w:val="both"/>
        <w:rPr>
          <w:rFonts w:ascii="David" w:hAnsi="David" w:cs="David"/>
          <w:highlight w:val="yellow"/>
        </w:rPr>
      </w:pPr>
      <w:r>
        <w:rPr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במהותה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ובעוצמתה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החפץ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ובחומרתה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שבוצעו</w:t>
      </w:r>
      <w:r>
        <w:rPr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highlight w:val="yellow"/>
        </w:rPr>
      </w:pPr>
      <w:r>
        <w:rPr>
          <w:rFonts w:cs="David" w:ascii="David" w:hAnsi="David"/>
          <w:highlight w:val="yellow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בענייננו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ברי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רכבו של הנאשם שימש כרכיב מהותי בביצוע העבירה מושא כתב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ואשר בלעדיו לא יכולה הייתה להתבצע העבירה האמורה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מאידך גיסא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קבעה פסיקת בית המשפט העליון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סמכות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אשר נתונה לבית המשפט היא סמכות שברשות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וכי יש להביא בחשבון את השלכותיה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ואת אופן השתלבותה בענישה הכוללת של הנאשם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אפנה לעניין זיתאווי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firstLine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b/>
          <w:b/>
          <w:bCs/>
          <w:rtl w:val="true"/>
        </w:rPr>
        <w:t>אכן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/>
          <w:b/>
          <w:b/>
          <w:bCs/>
          <w:rtl w:val="true"/>
        </w:rPr>
        <w:t>המכונית שימשה בידי המערער כלי בלעדיו היה מתקשה להפיל את המתלוננת ברשתו ולבצע בה את העבירות בהן הורשע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אולם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אותה סמכות חילוט היא סמכות שברשות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ובטרם יעשה בה בית המשפט שימוש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הוא מצווה לתת את דעתו גם על השלכותיה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וכיצד היא משתלבת במערך רכיביו האחרים של העונש</w:t>
      </w:r>
      <w:r>
        <w:rPr>
          <w:rFonts w:cs="David" w:ascii="David" w:hAnsi="David"/>
          <w:b/>
          <w:bCs/>
          <w:u w:val="single"/>
          <w:rtl w:val="true"/>
        </w:rPr>
        <w:t xml:space="preserve">. </w:t>
      </w:r>
      <w:r>
        <w:rPr>
          <w:rFonts w:ascii="David" w:hAnsi="David"/>
          <w:b/>
          <w:b/>
          <w:bCs/>
          <w:u w:val="single"/>
          <w:rtl w:val="true"/>
        </w:rPr>
        <w:t>אכן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בנסיבות אחרות ראוי גם ראוי היה להורות על חילוט המכונית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אולם משנגזר למערער עונש מאסר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אותו אני מציע להאריך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סבורני כי בית המשפט המחוזי היה רשאי לקבוע כי בחילוט גלומה הכבדה מעבר לנדרש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u w:val="single"/>
          <w:rtl w:val="true"/>
        </w:rPr>
        <w:t>ועל כן נכון להימנע ממנה</w:t>
      </w:r>
      <w:r>
        <w:rPr>
          <w:rFonts w:cs="David" w:ascii="David" w:hAnsi="David"/>
          <w:rtl w:val="true"/>
        </w:rPr>
        <w:t>". (</w:t>
      </w:r>
      <w:r>
        <w:rPr>
          <w:rFonts w:ascii="David" w:hAnsi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וכן לדבריו של כב</w:t>
      </w:r>
      <w:r>
        <w:rPr>
          <w:rFonts w:cs="David" w:ascii="David" w:hAnsi="David"/>
          <w:rtl w:val="true"/>
        </w:rPr>
        <w:t xml:space="preserve">' </w:t>
      </w:r>
      <w:r>
        <w:rPr>
          <w:rFonts w:ascii="David" w:hAnsi="David"/>
          <w:rtl w:val="true"/>
        </w:rPr>
        <w:t>השופט 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אלרון ב</w:t>
      </w:r>
      <w:r>
        <w:rPr>
          <w:rFonts w:cs="David" w:ascii="David" w:hAnsi="David"/>
          <w:rtl w:val="true"/>
        </w:rPr>
        <w:t>-</w:t>
      </w:r>
      <w:hyperlink r:id="rId62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9104-20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מדינת ישראל נ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/>
          <w:b/>
          <w:b/>
          <w:bCs/>
          <w:rtl w:val="true"/>
        </w:rPr>
        <w:t>דוד טבצ</w:t>
      </w:r>
      <w:r>
        <w:rPr>
          <w:rFonts w:cs="David" w:ascii="David" w:hAnsi="David"/>
          <w:b/>
          <w:bCs/>
          <w:rtl w:val="true"/>
        </w:rPr>
        <w:t>'</w:t>
      </w:r>
      <w:r>
        <w:rPr>
          <w:rFonts w:ascii="David" w:hAnsi="David"/>
          <w:b/>
          <w:b/>
          <w:bCs/>
          <w:rtl w:val="true"/>
        </w:rPr>
        <w:t>ניקוב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>(</w:t>
      </w:r>
      <w:r>
        <w:rPr>
          <w:rFonts w:cs="David" w:ascii="David" w:hAnsi="David"/>
        </w:rPr>
        <w:t>04.03.2021</w:t>
      </w:r>
      <w:r>
        <w:rPr>
          <w:rFonts w:cs="David" w:ascii="David" w:hAnsi="David"/>
          <w:rtl w:val="true"/>
        </w:rPr>
        <w:t xml:space="preserve">), </w:t>
      </w:r>
      <w:r>
        <w:rPr>
          <w:rFonts w:ascii="David" w:hAnsi="David"/>
          <w:rtl w:val="true"/>
        </w:rPr>
        <w:t xml:space="preserve">פסקה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>:</w:t>
      </w:r>
    </w:p>
    <w:p>
      <w:pPr>
        <w:pStyle w:val="Ruller42"/>
        <w:spacing w:before="240" w:after="240"/>
        <w:ind w:start="144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Ruller42"/>
        <w:spacing w:before="240" w:after="240"/>
        <w:ind w:start="1134" w:end="1134"/>
        <w:jc w:val="both"/>
        <w:rPr/>
      </w:pP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מנגד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איני סבור כי עלינו להתערב בהחלטת בית המשפט המחוזי שלא להורות על חילוט רכבו של המשיב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u w:val="single"/>
          <w:rtl w:val="true"/>
        </w:rPr>
        <w:t>זאת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 xml:space="preserve">בפרט בשים לב כי סמכותו של בית המשפט להורות על חילוט רכוש על פי 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סעיפים </w:t>
      </w:r>
      <w:r>
        <w:rPr>
          <w:rFonts w:cs="David" w:ascii="David" w:hAnsi="David"/>
          <w:b/>
          <w:bCs/>
          <w:color w:val="000000"/>
        </w:rPr>
        <w:t>32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ו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39</w:t>
      </w:r>
      <w:r>
        <w:rPr>
          <w:rFonts w:cs="David" w:ascii="David" w:hAnsi="David"/>
          <w:b/>
          <w:bCs/>
          <w:u w:val="single"/>
          <w:rtl w:val="true"/>
        </w:rPr>
        <w:t xml:space="preserve"> </w:t>
      </w:r>
      <w:r>
        <w:rPr>
          <w:rFonts w:ascii="David" w:hAnsi="David" w:cs="David"/>
          <w:b/>
          <w:b/>
          <w:bCs/>
          <w:u w:val="single"/>
          <w:rtl w:val="true"/>
        </w:rPr>
        <w:t>ל</w:t>
      </w:r>
      <w:hyperlink r:id="rId63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פקודת סדר הדין הפלילי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מעצר וחיפוש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b/>
          <w:bCs/>
          <w:u w:val="single"/>
          <w:rtl w:val="true"/>
        </w:rPr>
        <w:t xml:space="preserve"> [</w:t>
      </w:r>
      <w:r>
        <w:rPr>
          <w:rFonts w:ascii="David" w:hAnsi="David" w:cs="David"/>
          <w:b/>
          <w:b/>
          <w:bCs/>
          <w:u w:val="single"/>
          <w:rtl w:val="true"/>
        </w:rPr>
        <w:t>נוסח חדש</w:t>
      </w:r>
      <w:r>
        <w:rPr>
          <w:rFonts w:cs="David" w:ascii="David" w:hAnsi="David"/>
          <w:b/>
          <w:bCs/>
          <w:u w:val="single"/>
          <w:rtl w:val="true"/>
        </w:rPr>
        <w:t xml:space="preserve">], </w:t>
      </w:r>
      <w:r>
        <w:rPr>
          <w:rFonts w:ascii="David" w:hAnsi="David" w:cs="David"/>
          <w:b/>
          <w:b/>
          <w:bCs/>
          <w:u w:val="single"/>
          <w:rtl w:val="true"/>
        </w:rPr>
        <w:t>התשכ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 w:cs="David"/>
          <w:b/>
          <w:b/>
          <w:bCs/>
          <w:u w:val="single"/>
          <w:rtl w:val="true"/>
        </w:rPr>
        <w:t>ט–</w:t>
      </w:r>
      <w:r>
        <w:rPr>
          <w:rFonts w:cs="David" w:ascii="David" w:hAnsi="David"/>
          <w:b/>
          <w:bCs/>
          <w:u w:val="single"/>
        </w:rPr>
        <w:t>1969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>היא סמכות שבשיקול דעת</w:t>
      </w:r>
      <w:r>
        <w:rPr>
          <w:rFonts w:cs="David" w:ascii="David" w:hAnsi="David"/>
          <w:b/>
          <w:bCs/>
          <w:u w:val="single"/>
          <w:rtl w:val="true"/>
        </w:rPr>
        <w:t xml:space="preserve">, </w:t>
      </w:r>
      <w:r>
        <w:rPr>
          <w:rFonts w:ascii="David" w:hAnsi="David" w:cs="David"/>
          <w:b/>
          <w:b/>
          <w:bCs/>
          <w:u w:val="single"/>
          <w:rtl w:val="true"/>
        </w:rPr>
        <w:t>אשר הפעלתה תלויה בין היתר בהשלכות חילוט הרכוש ובהשתלבותו במערך הענישה הכולל שיושת על הנאשם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  <w:rtl w:val="true"/>
        </w:rPr>
        <w:t>(</w:t>
      </w:r>
      <w:r>
        <w:rPr>
          <w:rFonts w:ascii="David" w:hAnsi="David" w:cs="David"/>
          <w:b/>
          <w:b/>
          <w:bCs/>
          <w:color w:val="000000"/>
          <w:rtl w:val="true"/>
        </w:rPr>
        <w:t>רע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 w:cs="David"/>
          <w:b/>
          <w:b/>
          <w:bCs/>
          <w:color w:val="000000"/>
          <w:rtl w:val="true"/>
        </w:rPr>
        <w:t xml:space="preserve">פ </w:t>
      </w:r>
      <w:r>
        <w:rPr>
          <w:rFonts w:cs="David" w:ascii="David" w:hAnsi="David"/>
          <w:b/>
          <w:bCs/>
          <w:color w:val="000000"/>
        </w:rPr>
        <w:t>4105/16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גאבר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cs="David" w:ascii="David" w:hAnsi="David"/>
          <w:b/>
          <w:bCs/>
          <w:spacing w:val="0"/>
          <w:rtl w:val="true"/>
        </w:rPr>
        <w:t>[</w:t>
      </w:r>
      <w:r>
        <w:rPr>
          <w:rFonts w:ascii="David" w:hAnsi="David" w:cs="David"/>
          <w:b/>
          <w:b/>
          <w:bCs/>
          <w:spacing w:val="0"/>
          <w:rtl w:val="true"/>
        </w:rPr>
        <w:t>פורסם בנבו</w:t>
      </w:r>
      <w:r>
        <w:rPr>
          <w:rFonts w:cs="David" w:ascii="David" w:hAnsi="David"/>
          <w:b/>
          <w:bCs/>
          <w:spacing w:val="0"/>
          <w:rtl w:val="true"/>
        </w:rPr>
        <w:t xml:space="preserve">] </w:t>
      </w:r>
      <w:r>
        <w:rPr>
          <w:rFonts w:ascii="David" w:hAnsi="David" w:cs="David"/>
          <w:b/>
          <w:b/>
          <w:bCs/>
          <w:rtl w:val="true"/>
        </w:rPr>
        <w:t>פסקה ט</w:t>
      </w:r>
      <w:r>
        <w:rPr>
          <w:rFonts w:cs="David" w:ascii="David" w:hAnsi="David"/>
          <w:b/>
          <w:bCs/>
          <w:rtl w:val="true"/>
        </w:rPr>
        <w:t>' (</w:t>
      </w:r>
      <w:r>
        <w:rPr>
          <w:rFonts w:cs="David" w:ascii="David" w:hAnsi="David"/>
          <w:b/>
          <w:bCs/>
        </w:rPr>
        <w:t>2.1.2007</w:t>
      </w:r>
      <w:r>
        <w:rPr>
          <w:rFonts w:cs="David" w:ascii="David" w:hAnsi="David"/>
          <w:b/>
          <w:bCs/>
          <w:rtl w:val="true"/>
        </w:rPr>
        <w:t xml:space="preserve">); </w:t>
      </w:r>
      <w:hyperlink r:id="rId64"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u w:val="single"/>
          </w:rPr>
          <w:t>6234/03</w:t>
        </w:r>
      </w:hyperlink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spacing w:val="0"/>
          <w:rtl w:val="true"/>
        </w:rPr>
        <w:t>מדינת ישראל נ</w:t>
      </w:r>
      <w:r>
        <w:rPr>
          <w:rFonts w:cs="David" w:ascii="David" w:hAnsi="David"/>
          <w:b/>
          <w:bCs/>
          <w:spacing w:val="0"/>
          <w:rtl w:val="true"/>
        </w:rPr>
        <w:t xml:space="preserve">' </w:t>
      </w:r>
      <w:r>
        <w:rPr>
          <w:rFonts w:ascii="David" w:hAnsi="David" w:cs="David"/>
          <w:b/>
          <w:b/>
          <w:bCs/>
          <w:spacing w:val="0"/>
          <w:rtl w:val="true"/>
        </w:rPr>
        <w:t>זיתאווי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פסקה </w:t>
      </w:r>
      <w:r>
        <w:rPr>
          <w:rFonts w:cs="David" w:ascii="David" w:hAnsi="David"/>
          <w:b/>
          <w:bCs/>
        </w:rPr>
        <w:t>6</w:t>
      </w:r>
      <w:r>
        <w:rPr>
          <w:rFonts w:cs="David" w:ascii="David" w:hAnsi="David"/>
          <w:b/>
          <w:bCs/>
          <w:rtl w:val="true"/>
        </w:rPr>
        <w:t xml:space="preserve"> (</w:t>
      </w:r>
      <w:r>
        <w:rPr>
          <w:rFonts w:cs="David" w:ascii="David" w:hAnsi="David"/>
          <w:b/>
          <w:bCs/>
        </w:rPr>
        <w:t>9.3.2005</w:t>
      </w:r>
      <w:r>
        <w:rPr>
          <w:rFonts w:cs="David" w:ascii="David" w:hAnsi="David"/>
          <w:b/>
          <w:bCs/>
          <w:rtl w:val="true"/>
        </w:rPr>
        <w:t xml:space="preserve">))". </w:t>
      </w:r>
      <w:r>
        <w:rPr>
          <w:rFonts w:cs="David" w:ascii="David" w:hAnsi="David"/>
          <w:rtl w:val="true"/>
        </w:rPr>
        <w:t>(</w:t>
      </w:r>
      <w:r>
        <w:rPr>
          <w:rFonts w:ascii="David" w:hAnsi="David" w:cs="David"/>
          <w:rtl w:val="true"/>
        </w:rPr>
        <w:t>ההדגשה אינה במקור</w:t>
      </w:r>
      <w:r>
        <w:rPr>
          <w:rFonts w:cs="David" w:ascii="David" w:hAnsi="David"/>
          <w:rtl w:val="true"/>
        </w:rPr>
        <w:t>).</w:t>
      </w:r>
    </w:p>
    <w:p>
      <w:pPr>
        <w:pStyle w:val="Ruller42"/>
        <w:spacing w:before="240" w:after="240"/>
        <w:ind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בנסיבות המקרה שבפניי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עת החזיק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נשא והוביל ברכבו אקדח חצי אוטומטי ובו מחסנית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מביתו בנחף והתקרב לצומת אליקים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ושעה שלא מצאתי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קיימות השלכות הרות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גורל מן החילוט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סבורני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כי יש לחלט את הרכב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וכך אני מורה</w:t>
      </w:r>
      <w:r>
        <w:rPr>
          <w:rFonts w:cs="David" w:ascii="David" w:hAnsi="David"/>
          <w:rtl w:val="true"/>
        </w:rPr>
        <w:t>.</w:t>
        <w:tab/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</w:rPr>
        <w:t>18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בשקלול הנסיבות והנתונים השונים אני קובע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כי העונש הראוי בנסיבות הוא עונש של </w:t>
      </w:r>
      <w:r>
        <w:rPr>
          <w:rFonts w:cs="David" w:ascii="David" w:hAnsi="David"/>
        </w:rPr>
        <w:t>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בניכוי ימי המעצר בהם נשא הנאשם עד כה מכוח המעצר עד תום ההליכים אשר הושת עליו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בין התאריכים </w:t>
      </w:r>
      <w:r>
        <w:rPr>
          <w:rFonts w:cs="David" w:ascii="David" w:hAnsi="David"/>
        </w:rPr>
        <w:t>17.05.2020-16.07.2020</w:t>
      </w:r>
      <w:r>
        <w:rPr>
          <w:rFonts w:cs="David" w:ascii="David" w:hAnsi="David"/>
          <w:spacing w:val="10"/>
          <w:rtl w:val="true"/>
        </w:rPr>
        <w:t>.</w:t>
      </w:r>
    </w:p>
    <w:p>
      <w:pPr>
        <w:pStyle w:val="Ruller41"/>
        <w:ind w:end="0"/>
        <w:jc w:val="both"/>
        <w:rPr>
          <w:rFonts w:ascii="David" w:hAnsi="David" w:cs="David"/>
          <w:spacing w:val="10"/>
        </w:rPr>
      </w:pPr>
      <w:r>
        <w:rPr>
          <w:rFonts w:cs="David" w:ascii="David" w:hAnsi="David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אשר על כן אני גוזר על הנאשם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hanging="720" w:start="144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למשך </w:t>
      </w:r>
      <w:r>
        <w:rPr>
          <w:rFonts w:cs="David" w:ascii="David" w:hAnsi="David"/>
          <w:sz w:val="24"/>
          <w:szCs w:val="24"/>
        </w:rPr>
        <w:t>22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לריצוי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בניכוי ימי מעצרו בין התאריכים </w:t>
      </w:r>
      <w:r>
        <w:rPr>
          <w:rFonts w:cs="David" w:ascii="David" w:hAnsi="David"/>
          <w:sz w:val="24"/>
          <w:szCs w:val="24"/>
        </w:rPr>
        <w:t>17.05.2020-16.07.2020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0" w:after="0"/>
        <w:ind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מאסר על תנאי לתקופה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שיופעל במידה והנאשם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עבירת נשק מכל סוג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720"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 מצאתי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העניין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להטיל על הנאשם קנס כספי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/>
        <w:ind w:start="1440" w:end="0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ד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אני מורה על חילוט רכבו של הנאשם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מסוג רנו קנגו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מספר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 xml:space="preserve">רישוי </w:t>
      </w:r>
      <w:r>
        <w:rPr>
          <w:rFonts w:cs="David" w:ascii="David" w:hAnsi="David"/>
        </w:rPr>
        <w:t>1044514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rtl w:val="true"/>
        </w:rPr>
        <w:t>הנאשם יתייצב לריצוי מאסרו בבית מעצר קישון</w:t>
      </w:r>
      <w:r>
        <w:rPr>
          <w:rFonts w:ascii="David" w:hAnsi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07.06.2021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/>
          <w:rtl w:val="true"/>
        </w:rPr>
        <w:t xml:space="preserve">עד השעה </w:t>
      </w:r>
      <w:r>
        <w:rPr>
          <w:rFonts w:cs="David" w:ascii="David" w:hAnsi="David"/>
        </w:rPr>
        <w:t>10:00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על</w:t>
      </w:r>
      <w:r>
        <w:rPr>
          <w:rFonts w:cs="David" w:ascii="David" w:hAnsi="David"/>
          <w:rtl w:val="true"/>
        </w:rPr>
        <w:t>-</w:t>
      </w:r>
      <w:r>
        <w:rPr>
          <w:rFonts w:ascii="David" w:hAnsi="David"/>
          <w:rtl w:val="true"/>
        </w:rPr>
        <w:t>פי החלטת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כשברשותו תעודת זהות או דרכון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על הנאשם לתאם את הכניסה למאסר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כולל האפשרות למיון מוקדם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עם ענף אבחון ומיון של שב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טלפונים</w:t>
      </w:r>
      <w:r>
        <w:rPr>
          <w:rFonts w:cs="David" w:ascii="David" w:hAnsi="David"/>
          <w:rtl w:val="true"/>
        </w:rPr>
        <w:t xml:space="preserve">: </w:t>
      </w:r>
      <w:r>
        <w:rPr>
          <w:rFonts w:cs="David" w:ascii="David" w:hAnsi="David"/>
        </w:rPr>
        <w:t>08-9787377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</w:rPr>
        <w:t>08-9787336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Fonts w:ascii="David" w:hAnsi="David"/>
          <w:u w:val="single"/>
          <w:rtl w:val="true"/>
        </w:rPr>
        <w:t>תנאי השחרור או המעצר באיזוק בהם היה נתון הנאשם עד כה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>ימשיכו לחול עד להתייצבותו לתחילת ריצוי עונשו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David" w:hAnsi="David" w:eastAsia="David" w:cs="David"/>
          <w:b/>
          <w:bCs/>
          <w:u w:val="single"/>
        </w:rPr>
      </w:pPr>
      <w:r>
        <w:rPr>
          <w:rFonts w:eastAsia="David" w:cs="David" w:ascii="David" w:hAnsi="David"/>
          <w:b/>
          <w:bCs/>
          <w:u w:val="single"/>
          <w:rtl w:val="true"/>
        </w:rPr>
        <w:t xml:space="preserve"> </w:t>
      </w:r>
    </w:p>
    <w:p>
      <w:pPr>
        <w:pStyle w:val="Normal"/>
        <w:shd w:fill="FFFFFF" w:val="clear"/>
        <w:spacing w:lineRule="auto" w:line="360"/>
        <w:ind w:firstLine="204" w:start="516" w:end="426"/>
        <w:jc w:val="both"/>
        <w:rPr>
          <w:rFonts w:ascii="Calibri" w:hAnsi="Calibri" w:cs="Arial"/>
          <w:sz w:val="22"/>
          <w:szCs w:val="22"/>
        </w:rPr>
      </w:pPr>
      <w:r>
        <w:rPr>
          <w:rFonts w:cs="David" w:ascii="David" w:hAnsi="David"/>
          <w:b/>
          <w:bCs/>
          <w:color w:val="FFFFFF"/>
          <w:sz w:val="2"/>
          <w:szCs w:val="2"/>
          <w:u w:val="single"/>
        </w:rPr>
        <w:t>5129371</w:t>
      </w:r>
      <w:r>
        <w:rPr>
          <w:rFonts w:ascii="David" w:hAnsi="David"/>
          <w:b/>
          <w:b/>
          <w:bCs/>
          <w:u w:val="single"/>
          <w:rtl w:val="true"/>
        </w:rPr>
        <w:t>המזכירות תשלח עותק מגזר</w:t>
      </w:r>
      <w:r>
        <w:rPr>
          <w:rFonts w:cs="David" w:ascii="David" w:hAnsi="David"/>
          <w:b/>
          <w:bCs/>
          <w:u w:val="single"/>
          <w:rtl w:val="true"/>
        </w:rPr>
        <w:t>-</w:t>
      </w:r>
      <w:r>
        <w:rPr>
          <w:rFonts w:ascii="David" w:hAnsi="David"/>
          <w:b/>
          <w:b/>
          <w:bCs/>
          <w:u w:val="single"/>
          <w:rtl w:val="true"/>
        </w:rPr>
        <w:t>הדין לשב</w:t>
      </w:r>
      <w:r>
        <w:rPr>
          <w:rFonts w:cs="David" w:ascii="David" w:hAnsi="David"/>
          <w:b/>
          <w:bCs/>
          <w:u w:val="single"/>
          <w:rtl w:val="true"/>
        </w:rPr>
        <w:t>"</w:t>
      </w:r>
      <w:r>
        <w:rPr>
          <w:rFonts w:ascii="David" w:hAnsi="David"/>
          <w:b/>
          <w:b/>
          <w:bCs/>
          <w:u w:val="single"/>
          <w:rtl w:val="true"/>
        </w:rPr>
        <w:t>ס וכן לפיקוח על האיזוק האלקטרוני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6"/>
          <w:szCs w:val="26"/>
        </w:rPr>
      </w:pPr>
      <w:r>
        <w:rPr>
          <w:rFonts w:cs="David" w:ascii="David" w:hAnsi="David"/>
          <w:color w:val="FFFFFF"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sz w:val="26"/>
          <w:szCs w:val="26"/>
        </w:rPr>
      </w:pPr>
      <w:bookmarkStart w:id="12" w:name="Nitan"/>
      <w:r>
        <w:rPr>
          <w:rFonts w:ascii="David" w:hAnsi="David"/>
          <w:sz w:val="26"/>
          <w:sz w:val="26"/>
          <w:szCs w:val="26"/>
          <w:rtl w:val="true"/>
        </w:rPr>
        <w:t>ניתן היום</w:t>
      </w:r>
      <w:r>
        <w:rPr>
          <w:rFonts w:cs="David" w:ascii="David" w:hAnsi="David"/>
          <w:sz w:val="26"/>
          <w:szCs w:val="26"/>
          <w:rtl w:val="true"/>
        </w:rPr>
        <w:t xml:space="preserve">,  </w:t>
      </w:r>
      <w:r>
        <w:rPr>
          <w:rFonts w:ascii="David" w:hAnsi="David"/>
          <w:sz w:val="26"/>
          <w:sz w:val="26"/>
          <w:szCs w:val="26"/>
          <w:rtl w:val="true"/>
        </w:rPr>
        <w:t>י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ג סיוון תשפ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>א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cs="David" w:ascii="David" w:hAnsi="David"/>
          <w:sz w:val="26"/>
          <w:szCs w:val="26"/>
        </w:rPr>
        <w:t>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/>
          <w:sz w:val="26"/>
          <w:sz w:val="26"/>
          <w:szCs w:val="26"/>
          <w:rtl w:val="true"/>
        </w:rPr>
        <w:t xml:space="preserve">מאי </w:t>
      </w:r>
      <w:r>
        <w:rPr>
          <w:rFonts w:cs="David" w:ascii="David" w:hAnsi="David"/>
          <w:sz w:val="26"/>
          <w:szCs w:val="26"/>
        </w:rPr>
        <w:t>2021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בהעדר הצדדים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bookmarkEnd w:id="12"/>
    </w:p>
    <w:p>
      <w:pPr>
        <w:pStyle w:val="Normal"/>
        <w:ind w:end="0"/>
        <w:jc w:val="center"/>
        <w:rPr>
          <w:rFonts w:ascii="David" w:hAnsi="David" w:cs="David"/>
          <w:sz w:val="26"/>
          <w:szCs w:val="26"/>
        </w:rPr>
      </w:pPr>
      <w:r>
        <w:rPr>
          <w:rFonts w:eastAsia="David" w:cs="David" w:ascii="David" w:hAnsi="David"/>
          <w:sz w:val="26"/>
          <w:szCs w:val="26"/>
          <w:rtl w:val="true"/>
        </w:rPr>
        <w:t xml:space="preserve">   </w:t>
      </w:r>
      <w:r>
        <w:rPr>
          <w:rFonts w:cs="David" w:ascii="David" w:hAnsi="David"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סארי ג</w:t>
      </w:r>
      <w:r>
        <w:rPr>
          <w:rFonts w:cs="David" w:ascii="David" w:hAnsi="David"/>
          <w:color w:val="000000"/>
          <w:sz w:val="22"/>
          <w:szCs w:val="22"/>
          <w:rtl w:val="true"/>
        </w:rPr>
        <w:t>'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יוסי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66"/>
      <w:footerReference w:type="default" r:id="rId6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61106-05-20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חמד עבד אל גני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0"/>
        </w:tabs>
        <w:ind w:start="1080" w:hanging="720"/>
      </w:pPr>
    </w:lvl>
  </w:abstractNum>
  <w:abstractNum w:abstractNumId="2">
    <w:lvl w:ilvl="0">
      <w:start w:val="12"/>
      <w:numFmt w:val="decimal"/>
      <w:lvlText w:val="%1."/>
      <w:lvlJc w:val="end"/>
      <w:pPr>
        <w:tabs>
          <w:tab w:val="num" w:pos="0"/>
        </w:tabs>
        <w:ind w:start="720" w:hanging="360"/>
      </w:p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72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character" w:styleId="Ruller5">
    <w:name w:val="Ruller5 תו"/>
    <w:qFormat/>
    <w:rPr>
      <w:rFonts w:ascii="Arial TUR;Arial" w:hAnsi="Arial TUR;Arial" w:cs="FrankRuehl"/>
      <w:spacing w:val="10"/>
      <w:szCs w:val="28"/>
    </w:rPr>
  </w:style>
  <w:style w:type="character" w:styleId="Ruller4">
    <w:name w:val="Ruller4 תו"/>
    <w:qFormat/>
    <w:rPr>
      <w:rFonts w:ascii="Arial TUR;Arial" w:hAnsi="Arial TUR;Arial" w:cs="FrankRuehl"/>
      <w:spacing w:val="10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/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eastAsia="Calibri" w:cs="FrankRuehl"/>
      <w:spacing w:val="10"/>
      <w:sz w:val="22"/>
      <w:szCs w:val="28"/>
    </w:rPr>
  </w:style>
  <w:style w:type="paragraph" w:styleId="Ruller42">
    <w:name w:val="Ruller 4 ממוספר"/>
    <w:basedOn w:val="Normal"/>
    <w:qFormat/>
    <w:pPr>
      <w:overflowPunct w:val="false"/>
      <w:autoSpaceDE w:val="false"/>
      <w:spacing w:lineRule="auto" w:line="360"/>
      <w:jc w:val="both"/>
    </w:pPr>
    <w:rPr>
      <w:rFonts w:ascii="Garamond" w:hAnsi="Garamond" w:cs="Times New Roman"/>
      <w:spacing w:val="1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f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38.a.5" TargetMode="External"/><Relationship Id="rId7" Type="http://schemas.openxmlformats.org/officeDocument/2006/relationships/hyperlink" Target="http://www.nevo.co.il/law/74918" TargetMode="External"/><Relationship Id="rId8" Type="http://schemas.openxmlformats.org/officeDocument/2006/relationships/hyperlink" Target="http://www.nevo.co.il/law/74918/32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1474168" TargetMode="External"/><Relationship Id="rId13" Type="http://schemas.openxmlformats.org/officeDocument/2006/relationships/hyperlink" Target="http://www.nevo.co.il/case/26596719" TargetMode="External"/><Relationship Id="rId14" Type="http://schemas.openxmlformats.org/officeDocument/2006/relationships/hyperlink" Target="http://www.nevo.co.il/case/20138359" TargetMode="External"/><Relationship Id="rId15" Type="http://schemas.openxmlformats.org/officeDocument/2006/relationships/hyperlink" Target="http://www.nevo.co.il/case/22199040" TargetMode="External"/><Relationship Id="rId16" Type="http://schemas.openxmlformats.org/officeDocument/2006/relationships/hyperlink" Target="http://www.nevo.co.il/case/23009435" TargetMode="External"/><Relationship Id="rId17" Type="http://schemas.openxmlformats.org/officeDocument/2006/relationships/hyperlink" Target="http://www.nevo.co.il/case/22746666" TargetMode="External"/><Relationship Id="rId18" Type="http://schemas.openxmlformats.org/officeDocument/2006/relationships/hyperlink" Target="http://www.nevo.co.il/case/22791136" TargetMode="External"/><Relationship Id="rId19" Type="http://schemas.openxmlformats.org/officeDocument/2006/relationships/hyperlink" Target="http://www.nevo.co.il/case/26312850" TargetMode="External"/><Relationship Id="rId20" Type="http://schemas.openxmlformats.org/officeDocument/2006/relationships/hyperlink" Target="http://www.nevo.co.il/case/24215692" TargetMode="External"/><Relationship Id="rId21" Type="http://schemas.openxmlformats.org/officeDocument/2006/relationships/hyperlink" Target="http://www.nevo.co.il/case/25892549" TargetMode="External"/><Relationship Id="rId22" Type="http://schemas.openxmlformats.org/officeDocument/2006/relationships/hyperlink" Target="http://www.nevo.co.il/case/26343396" TargetMode="External"/><Relationship Id="rId23" Type="http://schemas.openxmlformats.org/officeDocument/2006/relationships/hyperlink" Target="http://www.nevo.co.il/case/25800939" TargetMode="External"/><Relationship Id="rId24" Type="http://schemas.openxmlformats.org/officeDocument/2006/relationships/hyperlink" Target="http://www.nevo.co.il/case/26236201" TargetMode="External"/><Relationship Id="rId25" Type="http://schemas.openxmlformats.org/officeDocument/2006/relationships/hyperlink" Target="http://www.nevo.co.il/case/25888903" TargetMode="External"/><Relationship Id="rId26" Type="http://schemas.openxmlformats.org/officeDocument/2006/relationships/hyperlink" Target="http://www.nevo.co.il/case/22832395" TargetMode="External"/><Relationship Id="rId27" Type="http://schemas.openxmlformats.org/officeDocument/2006/relationships/hyperlink" Target="http://www.nevo.co.il/case/24151283" TargetMode="External"/><Relationship Id="rId28" Type="http://schemas.openxmlformats.org/officeDocument/2006/relationships/hyperlink" Target="http://www.nevo.co.il/case/25612982" TargetMode="External"/><Relationship Id="rId29" Type="http://schemas.openxmlformats.org/officeDocument/2006/relationships/hyperlink" Target="http://www.nevo.co.il/case/16913730" TargetMode="External"/><Relationship Id="rId30" Type="http://schemas.openxmlformats.org/officeDocument/2006/relationships/hyperlink" Target="http://www.nevo.co.il/case/22137915" TargetMode="External"/><Relationship Id="rId31" Type="http://schemas.openxmlformats.org/officeDocument/2006/relationships/hyperlink" Target="http://www.nevo.co.il/case/24305289" TargetMode="External"/><Relationship Id="rId32" Type="http://schemas.openxmlformats.org/officeDocument/2006/relationships/hyperlink" Target="http://www.nevo.co.il/case/23859579" TargetMode="External"/><Relationship Id="rId33" Type="http://schemas.openxmlformats.org/officeDocument/2006/relationships/hyperlink" Target="http://www.nevo.co.il/law/70301/338.a.5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25890687" TargetMode="External"/><Relationship Id="rId36" Type="http://schemas.openxmlformats.org/officeDocument/2006/relationships/hyperlink" Target="http://www.nevo.co.il/case/25824863" TargetMode="External"/><Relationship Id="rId37" Type="http://schemas.openxmlformats.org/officeDocument/2006/relationships/hyperlink" Target="http://www.nevo.co.il/case/5995135" TargetMode="External"/><Relationship Id="rId38" Type="http://schemas.openxmlformats.org/officeDocument/2006/relationships/hyperlink" Target="http://www.nevo.co.il/case/5950172" TargetMode="External"/><Relationship Id="rId39" Type="http://schemas.openxmlformats.org/officeDocument/2006/relationships/hyperlink" Target="http://www.nevo.co.il/case/5568354" TargetMode="External"/><Relationship Id="rId40" Type="http://schemas.openxmlformats.org/officeDocument/2006/relationships/hyperlink" Target="http://www.nevo.co.il/case/27171364" TargetMode="External"/><Relationship Id="rId41" Type="http://schemas.openxmlformats.org/officeDocument/2006/relationships/hyperlink" Target="http://www.nevo.co.il/case/26538254" TargetMode="External"/><Relationship Id="rId42" Type="http://schemas.openxmlformats.org/officeDocument/2006/relationships/hyperlink" Target="http://www.nevo.co.il/case/7791493" TargetMode="External"/><Relationship Id="rId43" Type="http://schemas.openxmlformats.org/officeDocument/2006/relationships/hyperlink" Target="http://www.nevo.co.il/case/5821327" TargetMode="External"/><Relationship Id="rId44" Type="http://schemas.openxmlformats.org/officeDocument/2006/relationships/hyperlink" Target="http://www.nevo.co.il/case/23750625" TargetMode="External"/><Relationship Id="rId45" Type="http://schemas.openxmlformats.org/officeDocument/2006/relationships/hyperlink" Target="http://www.nevo.co.il/case/27292055" TargetMode="External"/><Relationship Id="rId46" Type="http://schemas.openxmlformats.org/officeDocument/2006/relationships/hyperlink" Target="http://www.nevo.co.il/case/27309272" TargetMode="External"/><Relationship Id="rId47" Type="http://schemas.openxmlformats.org/officeDocument/2006/relationships/hyperlink" Target="http://www.nevo.co.il/case/17941073" TargetMode="External"/><Relationship Id="rId48" Type="http://schemas.openxmlformats.org/officeDocument/2006/relationships/hyperlink" Target="http://www.nevo.co.il/case/17938943" TargetMode="External"/><Relationship Id="rId49" Type="http://schemas.openxmlformats.org/officeDocument/2006/relationships/hyperlink" Target="http://www.nevo.co.il/case/6248029" TargetMode="External"/><Relationship Id="rId50" Type="http://schemas.openxmlformats.org/officeDocument/2006/relationships/hyperlink" Target="http://www.nevo.co.il/case/26888657" TargetMode="External"/><Relationship Id="rId51" Type="http://schemas.openxmlformats.org/officeDocument/2006/relationships/hyperlink" Target="http://www.nevo.co.il/case/25612982" TargetMode="External"/><Relationship Id="rId52" Type="http://schemas.openxmlformats.org/officeDocument/2006/relationships/hyperlink" Target="http://www.nevo.co.il/case/5594385" TargetMode="External"/><Relationship Id="rId53" Type="http://schemas.openxmlformats.org/officeDocument/2006/relationships/hyperlink" Target="http://www.nevo.co.il/law/70301/40f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4918/32.a" TargetMode="External"/><Relationship Id="rId56" Type="http://schemas.openxmlformats.org/officeDocument/2006/relationships/hyperlink" Target="http://www.nevo.co.il/law/74918" TargetMode="External"/><Relationship Id="rId57" Type="http://schemas.openxmlformats.org/officeDocument/2006/relationships/hyperlink" Target="http://www.nevo.co.il/case/6055128" TargetMode="External"/><Relationship Id="rId58" Type="http://schemas.openxmlformats.org/officeDocument/2006/relationships/hyperlink" Target="http://www.nevo.co.il/case/17929014" TargetMode="External"/><Relationship Id="rId59" Type="http://schemas.openxmlformats.org/officeDocument/2006/relationships/hyperlink" Target="http://www.nevo.co.il/case/17922225" TargetMode="External"/><Relationship Id="rId60" Type="http://schemas.openxmlformats.org/officeDocument/2006/relationships/hyperlink" Target="http://www.nevo.co.il/case/17914099" TargetMode="External"/><Relationship Id="rId61" Type="http://schemas.openxmlformats.org/officeDocument/2006/relationships/hyperlink" Target="http://www.nevo.co.il/case/17922225" TargetMode="External"/><Relationship Id="rId62" Type="http://schemas.openxmlformats.org/officeDocument/2006/relationships/hyperlink" Target="http://www.nevo.co.il/case/27272576" TargetMode="External"/><Relationship Id="rId63" Type="http://schemas.openxmlformats.org/officeDocument/2006/relationships/hyperlink" Target="http://www.nevo.co.il/law/74918" TargetMode="External"/><Relationship Id="rId64" Type="http://schemas.openxmlformats.org/officeDocument/2006/relationships/hyperlink" Target="http://www.nevo.co.il/case/6055128" TargetMode="External"/><Relationship Id="rId65" Type="http://schemas.openxmlformats.org/officeDocument/2006/relationships/hyperlink" Target="http://www.nevo.co.il/advertisements/nevo-100.doc" TargetMode="External"/><Relationship Id="rId66" Type="http://schemas.openxmlformats.org/officeDocument/2006/relationships/header" Target="header1.xml"/><Relationship Id="rId67" Type="http://schemas.openxmlformats.org/officeDocument/2006/relationships/footer" Target="footer1.xml"/><Relationship Id="rId68" Type="http://schemas.openxmlformats.org/officeDocument/2006/relationships/numbering" Target="numbering.xml"/><Relationship Id="rId69" Type="http://schemas.openxmlformats.org/officeDocument/2006/relationships/fontTable" Target="fontTable.xml"/><Relationship Id="rId70" Type="http://schemas.openxmlformats.org/officeDocument/2006/relationships/settings" Target="settings.xml"/><Relationship Id="rId7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2022-02-23T11:25:00Z</dcterms:created>
  <dc:creator> </dc:creator>
  <dc:description/>
  <cp:keywords/>
  <dc:language>en-IL</dc:language>
  <cp:lastModifiedBy>h1</cp:lastModifiedBy>
  <dcterms:modified xsi:type="dcterms:W3CDTF">2022-02-23T11:25:00Z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חמד עבד אל גני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21474168;26596719;20138359;22199040;23009435;22746666;22791136;26312850;24215692;25892549;26343396;25800939;26236201;25888903;22832395;24151283;25612982:2;16913730;22137915;24305289;23859579;25890687;25824863;5995135;5950172;5568354;27171364;26538254</vt:lpwstr>
  </property>
  <property fmtid="{D5CDD505-2E9C-101B-9397-08002B2CF9AE}" pid="9" name="CASESLISTTMP2">
    <vt:lpwstr>7791493;5821327;23750625;27292055;27309272;17941073;17938943;6248029;26888657;5594385;6055128:2;17929014;17922225:2;17914099;27272576</vt:lpwstr>
  </property>
  <property fmtid="{D5CDD505-2E9C-101B-9397-08002B2CF9AE}" pid="10" name="CITY">
    <vt:lpwstr>חי'</vt:lpwstr>
  </property>
  <property fmtid="{D5CDD505-2E9C-101B-9397-08002B2CF9AE}" pid="11" name="DATE">
    <vt:lpwstr>20210524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סארי ג'יוסי</vt:lpwstr>
  </property>
  <property fmtid="{D5CDD505-2E9C-101B-9397-08002B2CF9AE}" pid="15" name="LAWLISTTMP1">
    <vt:lpwstr>70301/144.a;144.b;338.a.5;040f</vt:lpwstr>
  </property>
  <property fmtid="{D5CDD505-2E9C-101B-9397-08002B2CF9AE}" pid="16" name="LAWLISTTMP2">
    <vt:lpwstr>74918/032.a</vt:lpwstr>
  </property>
  <property fmtid="{D5CDD505-2E9C-101B-9397-08002B2CF9AE}" pid="17" name="LAWYER">
    <vt:lpwstr>ויסאם עראף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61106</vt:lpwstr>
  </property>
  <property fmtid="{D5CDD505-2E9C-101B-9397-08002B2CF9AE}" pid="24" name="NEWPARTB">
    <vt:lpwstr>05</vt:lpwstr>
  </property>
  <property fmtid="{D5CDD505-2E9C-101B-9397-08002B2CF9AE}" pid="25" name="NEWPARTC">
    <vt:lpwstr>20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390020210524</vt:lpwstr>
  </property>
  <property fmtid="{D5CDD505-2E9C-101B-9397-08002B2CF9AE}" pid="36" name="TYPE_N_DATE">
    <vt:lpwstr>39020210524</vt:lpwstr>
  </property>
  <property fmtid="{D5CDD505-2E9C-101B-9397-08002B2CF9AE}" pid="37" name="VOLUME">
    <vt:lpwstr/>
  </property>
  <property fmtid="{D5CDD505-2E9C-101B-9397-08002B2CF9AE}" pid="38" name="WORDNUMPAGES">
    <vt:lpwstr>20</vt:lpwstr>
  </property>
</Properties>
</file>