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61118-07-23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ביטון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מומין עמאש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סריי עבוד ממשרד עדאל בויראת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אבראהים עמאש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02:39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25.12.23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ומסוכנותו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34-18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הפנמתו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כחמורות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");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מהעיר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זרקה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הבינוני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שטיין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6806/23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סעדיאיב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27.9.23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ההסעה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תמימה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לנקודה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החיפוש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23.2.23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25009-02-23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אלדראגה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14.2.24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38050-03-21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 הובלת נשק ותחמושת – אקדח גנוב ושלוש מחסניות גנובות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תואמות ומלאות בתוך ארגז כלים סגור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הנע בין </w:t>
      </w:r>
      <w:r>
        <w:rPr>
          <w:rFonts w:cs="Arial" w:ascii="Arial" w:hAnsi="Arial"/>
        </w:rPr>
        <w:t>40-20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בשתי הרשעותיו הקודמות בעבירות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חייו הלא פשוטות ומעצרו הממושך נדון למאסר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שאליה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(</w:t>
      </w:r>
      <w:r>
        <w:rPr>
          <w:rFonts w:eastAsia="David"/>
          <w:rtl w:val="true"/>
        </w:rPr>
        <w:t>סעיף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6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לטיעון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הכתוב</w:t>
      </w:r>
      <w:r>
        <w:rPr>
          <w:rFonts w:eastAsia="David"/>
          <w:rtl w:val="true"/>
        </w:rPr>
        <w:t xml:space="preserve">) </w:t>
      </w:r>
      <w:r>
        <w:rPr>
          <w:rFonts w:eastAsia="David"/>
          <w:rtl w:val="true"/>
        </w:rPr>
        <w:t>מתיישבת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שפורטה</w:t>
      </w:r>
      <w:r>
        <w:rPr>
          <w:rFonts w:eastAsia="David"/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  <w:b/>
          <w:bCs/>
        </w:rPr>
      </w:pPr>
      <w:r>
        <w:rPr>
          <w:rFonts w:eastAsia="David"/>
          <w:b/>
          <w:bCs/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spacing w:before="0" w:after="160"/>
        <w:ind w:hanging="360" w:start="720" w:end="0"/>
        <w:jc w:val="both"/>
        <w:rPr>
          <w:b/>
          <w:bCs/>
          <w:u w:val="single"/>
        </w:rPr>
      </w:pPr>
      <w:r>
        <w:rPr>
          <w:rFonts w:eastAsia="David"/>
          <w:rtl w:val="true"/>
        </w:rPr>
        <w:t>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20-40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spacing w:before="0" w:after="160"/>
        <w:ind w:hanging="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spacing w:before="0" w:after="160"/>
        <w:ind w:hanging="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"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-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לחלטו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15.7.23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15.4.24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4324838</w:t>
      </w:r>
      <w:r>
        <w:rPr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1.4.24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יושמדו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5129371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pacing w:val="0"/>
          <w:sz w:val="26"/>
          <w:szCs w:val="26"/>
        </w:rPr>
      </w:pPr>
      <w:r>
        <w:rPr>
          <w:rFonts w:cs="Arial" w:ascii="Arial" w:hAnsi="Arial"/>
          <w:b/>
          <w:bCs/>
          <w:color w:val="FFFFFF"/>
          <w:spacing w:val="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61118-07-23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מומין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28883087" TargetMode="External"/><Relationship Id="rId12" Type="http://schemas.openxmlformats.org/officeDocument/2006/relationships/hyperlink" Target="http://www.nevo.co.il/case/30024241" TargetMode="External"/><Relationship Id="rId13" Type="http://schemas.openxmlformats.org/officeDocument/2006/relationships/hyperlink" Target="http://www.nevo.co.il/case/28229995" TargetMode="External"/><Relationship Id="rId14" Type="http://schemas.openxmlformats.org/officeDocument/2006/relationships/hyperlink" Target="http://www.nevo.co.il/case/28601157" TargetMode="External"/><Relationship Id="rId15" Type="http://schemas.openxmlformats.org/officeDocument/2006/relationships/hyperlink" Target="http://www.nevo.co.il/case/29390630" TargetMode="External"/><Relationship Id="rId16" Type="http://schemas.openxmlformats.org/officeDocument/2006/relationships/hyperlink" Target="http://www.nevo.co.il/case/27481263" TargetMode="External"/><Relationship Id="rId17" Type="http://schemas.openxmlformats.org/officeDocument/2006/relationships/hyperlink" Target="http://www.nevo.co.il/case/28384637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2024-03-13T09:27:00Z</dcterms:created>
  <dc:creator> </dc:creator>
  <dc:description/>
  <cp:keywords/>
  <dc:language>en-IL</dc:language>
  <cp:lastModifiedBy>h1</cp:lastModifiedBy>
  <dcterms:modified xsi:type="dcterms:W3CDTF">2024-03-13T09:27:00Z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מומין עמאש;אבראהים עמאש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27894608;27911638;28152132;28452933;5568354;28883087;30024241;28229995;28601157;29390630;27481263;28384637</vt:lpwstr>
  </property>
  <property fmtid="{D5CDD505-2E9C-101B-9397-08002B2CF9AE}" pid="10" name="CITY">
    <vt:lpwstr>מרכז</vt:lpwstr>
  </property>
  <property fmtid="{D5CDD505-2E9C-101B-9397-08002B2CF9AE}" pid="11" name="DATE">
    <vt:lpwstr>20240310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70301/144.b</vt:lpwstr>
  </property>
  <property fmtid="{D5CDD505-2E9C-101B-9397-08002B2CF9AE}" pid="16" name="LAWYER">
    <vt:lpwstr>מירי ביטון הראל;סריי עבוד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61118</vt:lpwstr>
  </property>
  <property fmtid="{D5CDD505-2E9C-101B-9397-08002B2CF9AE}" pid="23" name="NEWPARTB">
    <vt:lpwstr>07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390020240310</vt:lpwstr>
  </property>
  <property fmtid="{D5CDD505-2E9C-101B-9397-08002B2CF9AE}" pid="35" name="TYPE_N_DATE">
    <vt:lpwstr>39020240310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