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color w:val="000080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61158-05-20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סקא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24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בפברואר </w:t>
            </w:r>
            <w:r>
              <w:rPr>
                <w:rFonts w:cs="David" w:ascii="David" w:hAnsi="David"/>
                <w:b/>
                <w:bCs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21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4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16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rStyle w:val="TimesNewRomanTimesNewRoman"/>
                <w:rtl w:val="true"/>
              </w:rPr>
              <w:t xml:space="preserve">, </w:t>
            </w:r>
            <w:r>
              <w:rPr>
                <w:rStyle w:val="TimesNewRomanTimesNewRoman"/>
                <w:rtl w:val="true"/>
              </w:rPr>
              <w:t>סגן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נשיא</w:t>
            </w:r>
          </w:p>
          <w:p>
            <w:pPr>
              <w:pStyle w:val="Normal"/>
              <w:ind w:end="0"/>
              <w:jc w:val="end"/>
              <w:rPr>
                <w:rStyle w:val="TimesNewRomanTimesNewRoman"/>
                <w:rFonts w:cs="Times New Roman"/>
              </w:rPr>
            </w:pPr>
            <w:r>
              <w:rPr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</w:tc>
      </w:tr>
      <w:tr>
        <w:trPr/>
        <w:tc>
          <w:tcPr>
            <w:tcW w:w="821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  <w:r>
              <w:rPr>
                <w:rFonts w:cs="Arial" w:ascii="Arial" w:hAnsi="Arial"/>
                <w:b/>
                <w:bCs/>
                <w:sz w:val="4"/>
                <w:szCs w:val="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</w:tc>
      </w:tr>
      <w:tr>
        <w:trPr/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רמאדאן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סקא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כבהא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כללי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</w:t>
      </w:r>
      <w:r>
        <w:rPr>
          <w:rtl w:val="true"/>
        </w:rPr>
        <w:t>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>יהם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>) (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6297-06-19</w:t>
        </w:r>
      </w:hyperlink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6510-04-19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>) (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תיקי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הצירוף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bookmarkStart w:id="14" w:name="ABSTRACT_END"/>
      <w:bookmarkEnd w:id="14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22.11.2019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18:08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,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18:11</w:t>
      </w:r>
      <w:r>
        <w:rPr>
          <w:rtl w:val="true"/>
        </w:rPr>
        <w:t xml:space="preserve">,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עלומה</w:t>
      </w:r>
      <w:r>
        <w:rPr>
          <w:rtl w:val="true"/>
        </w:rPr>
        <w:t xml:space="preserve">, 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18:13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19.10.2017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18:50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1.1789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16.6.2018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01:25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2.08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0.67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6,570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);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קפיצת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tl w:val="true"/>
        </w:rPr>
        <w:t xml:space="preserve">"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, </w:t>
      </w:r>
      <w:r>
        <w:rPr>
          <w:rtl w:val="true"/>
        </w:rPr>
        <w:t>ולצבור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);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;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tl w:val="true"/>
        </w:rPr>
        <w:t xml:space="preserve">;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בהתייחס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,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/>
        <w:t>21.2.2012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, "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שהרי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rtl w:val="true"/>
        </w:rPr>
        <w:t>סוג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הנשק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כמו</w:t>
      </w:r>
      <w:r>
        <w:rPr>
          <w:rFonts w:cs="FrankRuehl" w:ascii="FrankRuehl" w:hAnsi="FrankRuehl"/>
          <w:b/>
          <w:bCs/>
          <w:sz w:val="28"/>
          <w:rtl w:val="true"/>
        </w:rPr>
        <w:t>-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 xml:space="preserve">גם </w:t>
      </w:r>
      <w:r>
        <w:rPr>
          <w:rFonts w:cs="Miriam"/>
          <w:b/>
          <w:b/>
          <w:bCs/>
          <w:sz w:val="28"/>
          <w:sz w:val="28"/>
          <w:rtl w:val="true"/>
        </w:rPr>
        <w:t>ההיקף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 xml:space="preserve"> שבו נסחר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הוחזק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הובל וכיוצא באלה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 xml:space="preserve">הם </w:t>
      </w:r>
      <w:r>
        <w:rPr>
          <w:rFonts w:cs="Miriam"/>
          <w:b/>
          <w:b/>
          <w:bCs/>
          <w:sz w:val="28"/>
          <w:sz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והם שקובעים את פוטנציאל הנזק הכרוך במעשה העבירה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rtl w:val="true"/>
        </w:rPr>
        <w:t>[..</w:t>
      </w:r>
      <w:r>
        <w:rPr>
          <w:rFonts w:cs="FrankRuehl" w:ascii="FrankRuehl" w:hAnsi="FrankRuehl"/>
          <w:b/>
          <w:bCs/>
          <w:sz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rtl w:val="true"/>
        </w:rPr>
        <w:t>]</w:t>
      </w:r>
      <w:r>
        <w:rPr>
          <w:rFonts w:cs="FrankRuehl" w:ascii="FrankRuehl" w:hAnsi="FrankRuehl"/>
          <w:b/>
          <w:bCs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למעשה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אין כל חידוש בקביעה כי קיים מדרג ענישה בעבירות המבוצעות בנשק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הנקבע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בין השאר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על</w:t>
      </w:r>
      <w:r>
        <w:rPr>
          <w:rFonts w:cs="FrankRuehl" w:ascii="FrankRuehl" w:hAnsi="FrankRuehl"/>
          <w:b/>
          <w:bCs/>
          <w:sz w:val="28"/>
          <w:rtl w:val="true"/>
        </w:rPr>
        <w:t>-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פי סוג</w:t>
      </w:r>
      <w:r>
        <w:rPr>
          <w:rFonts w:cs="FrankRuehl" w:ascii="FrankRuehl" w:hAnsi="FrankRuehl"/>
          <w:b/>
          <w:bCs/>
          <w:sz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איכות וכמות הנשק שנעשה בו שימוש</w:t>
      </w:r>
      <w:r>
        <w:rPr>
          <w:rFonts w:cs="FrankRuehl" w:ascii="FrankRuehl" w:hAnsi="FrankRuehl"/>
          <w:sz w:val="28"/>
          <w:rtl w:val="true"/>
        </w:rPr>
        <w:t>" [</w:t>
      </w:r>
      <w:r>
        <w:rPr>
          <w:rFonts w:ascii="FrankRuehl" w:hAnsi="FrankRuehl" w:cs="FrankRuehl"/>
          <w:sz w:val="28"/>
          <w:sz w:val="28"/>
          <w:rtl w:val="true"/>
        </w:rPr>
        <w:t xml:space="preserve">ההדגשות במקור </w:t>
      </w:r>
      <w:r>
        <w:rPr>
          <w:rFonts w:cs="FrankRuehl" w:ascii="FrankRuehl" w:hAnsi="FrankRuehl"/>
          <w:sz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ascii="FrankRuehl" w:hAnsi="FrankRuehl" w:cs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] (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חסן נ</w:t>
      </w:r>
      <w:r>
        <w:rPr>
          <w:rFonts w:cs="FrankRuehl" w:ascii="FrankRuehl" w:hAnsi="FrankRuehl"/>
          <w:b/>
          <w:bCs/>
          <w:sz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מדינת 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פס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5.6.2013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rtl w:val="true"/>
        </w:rPr>
        <w:t xml:space="preserve">להלן </w:t>
      </w:r>
      <w:r>
        <w:rPr>
          <w:rFonts w:cs="FrankRuehl" w:ascii="FrankRuehl" w:hAnsi="FrankRuehl"/>
          <w:sz w:val="28"/>
          <w:rtl w:val="true"/>
        </w:rPr>
        <w:t xml:space="preserve">- </w:t>
      </w:r>
      <w:r>
        <w:rPr>
          <w:rFonts w:ascii="FrankRuehl" w:hAnsi="FrankRuehl" w:cs="FrankRuehl"/>
          <w:b/>
          <w:b/>
          <w:bCs/>
          <w:sz w:val="28"/>
          <w:sz w:val="28"/>
          <w:rtl w:val="true"/>
        </w:rPr>
        <w:t>עניין חסן</w:t>
      </w:r>
      <w:r>
        <w:rPr>
          <w:rFonts w:cs="FrankRuehl" w:ascii="FrankRuehl" w:hAnsi="FrankRuehl"/>
          <w:sz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rtl w:val="true"/>
        </w:rPr>
        <w:t>בנוסף לאמור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יש לקחת בחשבון את העובדה כי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הנאשם לא עשה שימוש באקדח ולא נגרם נזק ממשי בגין העבירה בה הורשע הנאשם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; </w:t>
      </w:r>
      <w:r>
        <w:rPr>
          <w:u w:val="single"/>
          <w:rtl w:val="true"/>
        </w:rPr>
        <w:t>וראו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); 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/>
        <w:t>27.1.2021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(</w:t>
      </w:r>
      <w:r>
        <w:rPr/>
        <w:t>30.12.2020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4135/16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22.2.2017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FrankRuehl" w:hAnsi="FrankRuehl" w:cs="FrankRuehl"/>
          <w:rtl w:val="true"/>
        </w:rPr>
        <w:t xml:space="preserve">החזיק ברכבו במקום מוצנע אקדח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שלא היה תקין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יחד עם מחסנית ריקה</w:t>
      </w:r>
      <w:r>
        <w:rPr>
          <w:rFonts w:cs="FrankRuehl" w:ascii="FrankRuehl" w:hAnsi="FrankRueh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רלבנטיות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". 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39500-07-20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23.2.2021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38687-04-20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10.2.2021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יעצור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52416-06-20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מאופניו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41522-05-18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10.8.2020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14115-07-19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מורשד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24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David" w:hAnsi="David" w:cs="David"/>
        </w:rPr>
      </w:pPr>
      <w:r>
        <w:rPr/>
        <w:t>12</w:t>
      </w:r>
      <w:r>
        <w:rPr>
          <w:rtl w:val="true"/>
        </w:rPr>
        <w:t>.</w:t>
        <w:tab/>
      </w:r>
      <w:r>
        <w:rPr>
          <w:u w:val="single"/>
          <w:rtl w:val="true"/>
        </w:rPr>
        <w:t>בהתייחס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לתיקי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עבירות הסמים בתיקים אלה </w:t>
      </w:r>
      <w:r>
        <w:rPr>
          <w:rFonts w:ascii="David" w:hAnsi="David"/>
          <w:rtl w:val="true"/>
        </w:rPr>
        <w:t>פוגע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במגוון ערכים 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שעיקרם </w:t>
      </w:r>
      <w:r>
        <w:rPr>
          <w:rFonts w:ascii="David" w:hAnsi="David"/>
          <w:rtl w:val="true"/>
        </w:rPr>
        <w:t xml:space="preserve">הגנה על הציבור מפני הנזקים הישירים </w:t>
      </w:r>
      <w:r>
        <w:rPr>
          <w:rFonts w:ascii="David" w:hAnsi="David"/>
          <w:rtl w:val="true"/>
        </w:rPr>
        <w:t xml:space="preserve">שנגרמים </w:t>
      </w:r>
      <w:r>
        <w:rPr>
          <w:rFonts w:ascii="David" w:hAnsi="David"/>
          <w:rtl w:val="true"/>
        </w:rPr>
        <w:t>לגופם של ה</w:t>
      </w:r>
      <w:r>
        <w:rPr>
          <w:rFonts w:ascii="David" w:hAnsi="David"/>
          <w:rtl w:val="true"/>
        </w:rPr>
        <w:t>משתמשים וה</w:t>
      </w:r>
      <w:r>
        <w:rPr>
          <w:rFonts w:ascii="David" w:hAnsi="David"/>
          <w:rtl w:val="true"/>
        </w:rPr>
        <w:t>צרכנים הפוטנציאליים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והנזקים העקיפים שנגרמים כתוצאה מביצוע עבירות רכוש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הנלוות לצריכת הסם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הפגיעה בערכים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ליתן את הדעת גם לסוג הסם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הידוע כסם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הרסני וממכר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לכמות הסם בתיק הצירוף הראשון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החזקת </w:t>
      </w:r>
      <w:r>
        <w:rPr>
          <w:rFonts w:cs="David" w:ascii="David" w:hAnsi="David"/>
        </w:rPr>
        <w:t>1.1789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ולכמות בתיק הצירוף 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החזקת </w:t>
      </w:r>
      <w:r>
        <w:rPr>
          <w:rFonts w:cs="David" w:ascii="David" w:hAnsi="David"/>
        </w:rPr>
        <w:t>2.08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וקנבוס במשקל </w:t>
      </w:r>
      <w:r>
        <w:rPr>
          <w:rFonts w:cs="David" w:ascii="David" w:hAnsi="David"/>
        </w:rPr>
        <w:t>0.67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שלא לצריכה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ולעובדה כי בתיק הצירוף השני נתפס גם כסף מזומן בסך </w:t>
      </w:r>
      <w:r>
        <w:rPr>
          <w:rFonts w:cs="David" w:ascii="David" w:hAnsi="David"/>
        </w:rPr>
        <w:t>6,570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טעם מסוים בטענת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הנסיבות בתיק הצירוף השני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גם העובדה כי מדובר בשתי הרשעות בעבירות סמים משוקללת במסגרת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להפנות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1473/18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22.4.2018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1.6888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0.4185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71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58843-10-10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12.7.2011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714" w:end="0"/>
        <w:contextualSpacing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11.2.2014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מחולק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0.095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0.5815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714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/>
      </w:pP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22160-02-14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משטרת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אביקסיס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11.11.2014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על יסוד הודאתו בעבירה של החזקת סם שלא לצריכה עצמית בכך שנתפס כשהוא מחזיק סם מסוכן מסוג קוקאין במשקל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וכן </w:t>
      </w:r>
      <w:r>
        <w:rPr>
          <w:rFonts w:cs="David" w:ascii="David" w:hAnsi="David"/>
        </w:rPr>
        <w:t>2,700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הנאשם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David" w:hAnsi="David" w:cs="David"/>
        </w:rPr>
      </w:pPr>
      <w:r>
        <w:rPr/>
        <w:t>13</w:t>
      </w:r>
      <w:r>
        <w:rPr>
          <w:rtl w:val="true"/>
        </w:rPr>
        <w:t xml:space="preserve">. </w:t>
        <w:tab/>
      </w:r>
      <w:r>
        <w:rPr>
          <w:rFonts w:ascii="David" w:hAnsi="David"/>
          <w:rtl w:val="true"/>
        </w:rPr>
        <w:t>על יסוד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מקום לאמץ את עמדת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ולקבוע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במתחם ענישה מתון וראוי אשר עולה בקנה אחד עם מדיניות הענישה הנוהגת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240" w:after="240"/>
        <w:ind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 w:before="240" w:after="24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למנות את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נטילת האחריות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הבעת החרטה והחיסכון בזמן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בפרט כשבחר לצרף יחדיו שלושה תיקים מתוך רצון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לנקות את השולחן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ולפתוח דף חדש בחייו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התחשבתי גם בנסיבות חייו המורכבות ובנתוניו האישיים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גילו הצעיר והטרגדיה שפקדה את משפחתו בנסיבות מותו של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שאלו פורטו בהרחבה על ידי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במסגרת הנתונים הפועלים</w:t>
      </w:r>
      <w:r>
        <w:rPr>
          <w:rFonts w:ascii="David" w:hAnsi="David"/>
          <w:b/>
          <w:b/>
          <w:bCs/>
          <w:rtl w:val="true"/>
        </w:rPr>
        <w:t xml:space="preserve"> לחובת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נתתי דעתי לעברו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שתי הרשעות קודמות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האחת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ניתנה על ידי בית המשפט לנוער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עבירות של 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 מרכב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נכס חשוד כגנוב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לרכוש במזיד ואיומים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בוצעו בין השנים </w:t>
      </w:r>
      <w:r>
        <w:rPr>
          <w:rFonts w:cs="David" w:ascii="David" w:hAnsi="David"/>
        </w:rPr>
        <w:t>2015-2013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בגינן נדון לעונש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כספי והתחייבות להימנע מעבירה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והשניה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ניתנה אף היא על ידי בית המשפט לנוער בשנת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שעניינה החזקת סם לצריכה עצמית בגינה נדון הנאשם לקנס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להימנע מעבירה ופסילת רישיון נהיגה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מקובלת עליי בהקשר זה 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המדובר בעבר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לבטח לא כזה המצדיק החמרה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בעבר פלילי שחלקו רלוונטי לאישומים בתיקי הצירוף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ומכל מקום ברור כי קיומו אינו מאפשר את גזירת דינו של הנאשם בתחתית המתחמים שנקבעו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אך בחלקם התחתון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על בסיס האמור לעיל ראיתי להטיל על הנאשם עונש כולל בגין שלושת התיקים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ולזאת כמפורט 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לריצוי בפועל בניכוי ימי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22.11.2019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יום </w:t>
      </w:r>
      <w:r>
        <w:rPr>
          <w:rFonts w:cs="David" w:ascii="David" w:hAnsi="David"/>
        </w:rPr>
        <w:t>1.12.2019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11.12.2019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יום </w:t>
      </w:r>
      <w:r>
        <w:rPr>
          <w:rFonts w:cs="David" w:ascii="David" w:hAnsi="David"/>
        </w:rPr>
        <w:t>15.12.2019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יתייצב ביום </w:t>
      </w:r>
      <w:r>
        <w:rPr>
          <w:rFonts w:cs="David" w:ascii="David" w:hAnsi="David"/>
        </w:rPr>
        <w:t>30.3.2021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במתקן ניצן לצורך ריצוי 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הנאשם לא יישא עונש זה אלא אם יעבור תוך שלוש שנים מיום שחרורו כל עבירת נשק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עבירת אלימות נגד הגוף מסוג פשע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אולם הנאשם לא יישא עונש זה אלא אם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כל עבירת אלימות נגד הגוף מסוג עוון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אולם הנאשם לא יישא עונש זה אלא אם יעבור תוך שנתיים מיום שחרורו עבירה על פקודת הסמים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יקוזז מההפקדה הקיימת בתיק 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והיתרה תושב לנאשם או למי מטעמו לאחר התייצבותו לריצוי המאסר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צו כללי למוצגים לשיקול קצין משטרה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התביעה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/>
      </w:pPr>
      <w:bookmarkStart w:id="15" w:name="Nitan"/>
      <w:r>
        <w:rPr>
          <w:rFonts w:ascii="David" w:hAnsi="David"/>
          <w:b/>
          <w:b/>
          <w:bCs/>
          <w:rtl w:val="true"/>
        </w:rPr>
        <w:t>ניתן והודע היום 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 אדר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24/02/2021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5"/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61158-05-20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רמאדאן סקא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Times New Roman" w:hAnsi="Times New Roman" w:eastAsia="Times New Roman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Times New Roman" w:hAnsi="Times New Roman" w:eastAsia="Times New Roman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Times New Roman" w:hAnsi="Times New Roman" w:eastAsia="Times New Roman"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WW8Num2z0">
    <w:name w:val="WW8Num2z0"/>
    <w:qFormat/>
    <w:rPr>
      <w:rFonts w:ascii="Times New Roman" w:hAnsi="Times New Roman" w:eastAsia="Times New Roman" w:cs="David"/>
    </w:rPr>
  </w:style>
  <w:style w:type="character" w:styleId="WW8Num3z0">
    <w:name w:val="WW8Num3z0"/>
    <w:qFormat/>
    <w:rPr>
      <w:rFonts w:ascii="Times New Roman" w:hAnsi="Times New Roman" w:eastAsia="Times New Roman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25750733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case/5878682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23750625" TargetMode="External"/><Relationship Id="rId20" Type="http://schemas.openxmlformats.org/officeDocument/2006/relationships/hyperlink" Target="http://www.nevo.co.il/case/27087184" TargetMode="External"/><Relationship Id="rId21" Type="http://schemas.openxmlformats.org/officeDocument/2006/relationships/hyperlink" Target="http://www.nevo.co.il/case/26934681" TargetMode="External"/><Relationship Id="rId22" Type="http://schemas.openxmlformats.org/officeDocument/2006/relationships/hyperlink" Target="http://www.nevo.co.il/case/25612982" TargetMode="External"/><Relationship Id="rId23" Type="http://schemas.openxmlformats.org/officeDocument/2006/relationships/hyperlink" Target="http://www.nevo.co.il/case/27087184" TargetMode="External"/><Relationship Id="rId24" Type="http://schemas.openxmlformats.org/officeDocument/2006/relationships/hyperlink" Target="http://www.nevo.co.il/case/21474514" TargetMode="External"/><Relationship Id="rId25" Type="http://schemas.openxmlformats.org/officeDocument/2006/relationships/hyperlink" Target="http://www.nevo.co.il/case/20446658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case/26853526" TargetMode="External"/><Relationship Id="rId28" Type="http://schemas.openxmlformats.org/officeDocument/2006/relationships/hyperlink" Target="http://www.nevo.co.il/case/26631078" TargetMode="External"/><Relationship Id="rId29" Type="http://schemas.openxmlformats.org/officeDocument/2006/relationships/hyperlink" Target="http://www.nevo.co.il/case/26779313" TargetMode="External"/><Relationship Id="rId30" Type="http://schemas.openxmlformats.org/officeDocument/2006/relationships/hyperlink" Target="http://www.nevo.co.il/case/24194196" TargetMode="External"/><Relationship Id="rId31" Type="http://schemas.openxmlformats.org/officeDocument/2006/relationships/hyperlink" Target="http://www.nevo.co.il/case/25842649" TargetMode="External"/><Relationship Id="rId32" Type="http://schemas.openxmlformats.org/officeDocument/2006/relationships/hyperlink" Target="http://www.nevo.co.il/case/23750765" TargetMode="External"/><Relationship Id="rId33" Type="http://schemas.openxmlformats.org/officeDocument/2006/relationships/hyperlink" Target="http://www.nevo.co.il/case/4467687" TargetMode="External"/><Relationship Id="rId34" Type="http://schemas.openxmlformats.org/officeDocument/2006/relationships/hyperlink" Target="http://www.nevo.co.il/case/11279208" TargetMode="External"/><Relationship Id="rId35" Type="http://schemas.openxmlformats.org/officeDocument/2006/relationships/hyperlink" Target="http://www.nevo.co.il/case/11311174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2021-10-11T08:41:00Z</dcterms:created>
  <dc:creator> </dc:creator>
  <dc:description/>
  <cp:keywords/>
  <dc:language>en-IL</dc:language>
  <cp:lastModifiedBy>h1</cp:lastModifiedBy>
  <dcterms:modified xsi:type="dcterms:W3CDTF">2021-10-11T08:41:00Z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רמאדאן סקא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25750733;5878682;25824863;7791493;6473037;23750625;27087184:2;26934681;25612982;21474514;20446658;6949290;26853526;26631078;26779313;24194196;25842649;23750765;4467687;11279208;11311174</vt:lpwstr>
  </property>
  <property fmtid="{D5CDD505-2E9C-101B-9397-08002B2CF9AE}" pid="9" name="CITY">
    <vt:lpwstr>ת"א</vt:lpwstr>
  </property>
  <property fmtid="{D5CDD505-2E9C-101B-9397-08002B2CF9AE}" pid="10" name="DATE">
    <vt:lpwstr>20210224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</vt:lpwstr>
  </property>
  <property fmtid="{D5CDD505-2E9C-101B-9397-08002B2CF9AE}" pid="15" name="LAWLISTTMP2">
    <vt:lpwstr>4216/007.a:2;007.c:2</vt:lpwstr>
  </property>
  <property fmtid="{D5CDD505-2E9C-101B-9397-08002B2CF9AE}" pid="16" name="LAWYER">
    <vt:lpwstr>ענת בן זאב; שלי קוטין;שאדי כבהא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61158</vt:lpwstr>
  </property>
  <property fmtid="{D5CDD505-2E9C-101B-9397-08002B2CF9AE}" pid="23" name="NEWPARTB">
    <vt:lpwstr>05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390020210224</vt:lpwstr>
  </property>
  <property fmtid="{D5CDD505-2E9C-101B-9397-08002B2CF9AE}" pid="35" name="TYPE_N_DATE">
    <vt:lpwstr>39020210224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