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33"/>
        <w:gridCol w:w="298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73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61299-12-19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זרבאילוב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בפיקוח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988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spacing w:lineRule="exact" w:line="240" w:before="120" w:after="12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בפני כבוד השופט סארי 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יוסי</w:t>
      </w:r>
    </w:p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</w:t>
      </w:r>
      <w:bookmarkStart w:id="1" w:name="FirstAppellant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מאשימ</w:t>
      </w:r>
      <w:bookmarkEnd w:id="1"/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                                    מדינת ישראל</w:t>
      </w:r>
    </w:p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end="0"/>
        <w:jc w:val="center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נגד</w:t>
      </w:r>
    </w:p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הנאשם                          </w:t>
      </w:r>
      <w:r>
        <w:rPr>
          <w:rFonts w:cs="David" w:ascii="David" w:hAnsi="David"/>
          <w:b/>
          <w:bCs/>
          <w:sz w:val="26"/>
          <w:szCs w:val="26"/>
          <w:rtl w:val="true"/>
        </w:rPr>
        <w:tab/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עזריה זרבאילוב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ת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ז </w:t>
      </w:r>
      <w:r>
        <w:rPr>
          <w:rFonts w:cs="David" w:ascii="David" w:hAnsi="David"/>
          <w:b/>
          <w:bCs/>
          <w:sz w:val="26"/>
          <w:szCs w:val="26"/>
        </w:rPr>
        <w:t>xxxxxxxxx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cs="FrankRuehl" w:ascii="FrankRuehl" w:hAnsi="FrankRuehl"/>
          <w:b/>
          <w:bCs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 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1969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u w:val="none"/>
          </w:rPr>
          <w:t>32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39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32"/>
          <w:szCs w:val="32"/>
        </w:rPr>
      </w:pPr>
      <w:r>
        <w:rPr>
          <w:rFonts w:cs="FrankRuehl" w:ascii="FrankRuehl" w:hAnsi="FrankRuehl"/>
          <w:color w:val="0000FF"/>
          <w:sz w:val="32"/>
          <w:szCs w:val="32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דיוני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הצדדים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והובלה</w:t>
      </w:r>
      <w:r>
        <w:rPr>
          <w:rFonts w:cs="FrankRuehl"/>
          <w:szCs w:val="26"/>
          <w:rtl w:val="true"/>
        </w:rPr>
        <w:t>)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עקבית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הגבוהה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הנשקפת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בשים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לגישת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לצידן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מחד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גיסא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הסתפקו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ומאידך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גיסא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להימנע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מאחורי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סורג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ובריח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מקריאה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מעמיקה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שופטיו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במציאות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הנכוחה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ימינו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מילותיהם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מקבלות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תוקף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16-36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בשקלול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והנתונים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32"/>
          <w:szCs w:val="32"/>
        </w:rPr>
      </w:pPr>
      <w:r>
        <w:rPr>
          <w:rFonts w:cs="FrankRuehl"/>
          <w:sz w:val="32"/>
          <w:szCs w:val="32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הנסיבות הצריכות לעניין הן בתמצית אלה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26.11.1981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ביום </w:t>
      </w:r>
      <w:r>
        <w:rPr>
          <w:rFonts w:cs="David" w:ascii="David" w:hAnsi="David"/>
          <w:sz w:val="24"/>
          <w:szCs w:val="24"/>
        </w:rPr>
        <w:t>22.09.2020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סמך הודאתו בעובדות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במסגרת הסדר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דיוני אליו הגיעו הצדדים</w:t>
      </w:r>
      <w:r>
        <w:rPr>
          <w:rFonts w:cs="David" w:ascii="David" w:hAnsi="David"/>
          <w:sz w:val="24"/>
          <w:szCs w:val="24"/>
          <w:rtl w:val="true"/>
        </w:rPr>
        <w:t>,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17.12.2019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20:00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או 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נסע הנאשם ברכב מסוג טויוטה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מספר רישוי </w:t>
      </w:r>
      <w:r>
        <w:rPr>
          <w:rFonts w:cs="David" w:ascii="David" w:hAnsi="David"/>
          <w:sz w:val="24"/>
          <w:szCs w:val="24"/>
        </w:rPr>
        <w:t>06159452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המצוי בבעלותו ובשימושו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כביש </w:t>
      </w:r>
      <w:r>
        <w:rPr>
          <w:rFonts w:cs="David" w:ascii="David" w:hAnsi="David"/>
          <w:sz w:val="24"/>
          <w:szCs w:val="24"/>
        </w:rPr>
        <w:t>6353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לכיוון חריש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נוהג הנאשם ברכב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באותה עת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והוביל הנאשם ברכב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המטען שני אקדחים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האקדחים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כל אחד מהם טעון במחסנית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ובתוכה חמישה כדורים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נשא והוביל שני כדורים נוספים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האקדחים הם כלי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נשק שסוגלו לירות כדור או קליע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בכוחם להמית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המחסניות והכדורים הם אביזרים ותחמושת לנשק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והנאשם נשאם והובילם בלא רשות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20:13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בכביש </w:t>
      </w:r>
      <w:r>
        <w:rPr>
          <w:rFonts w:cs="David" w:ascii="David" w:hAnsi="David"/>
          <w:sz w:val="24"/>
          <w:szCs w:val="24"/>
        </w:rPr>
        <w:t>6353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במהלך הנסיעה לכיוון חריש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נעצר הרכב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המשטרה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ובחיפוש שנערך בו נתפסו האקדחים והמחסניות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נעצר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הובל לתחנת משטרת עירון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בחיפוש 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נתפסו ברכב שני הכדורים הנוספים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 כבר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הצדדים להסדר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דיוני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ולפיו הנאשם חזר בו מכפירתו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בעובדות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נקבע כל הסדר לעניין העונש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במועד ההרשעה הוריתי על קבלת תסקיר משירות המבחן בנוגע לנאשם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מן התסקיר מיום </w:t>
      </w:r>
      <w:r>
        <w:rPr>
          <w:rFonts w:cs="David" w:ascii="David" w:hAnsi="David"/>
        </w:rPr>
        <w:t>15.02.2021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 ואב לתינוק כבן שמונה 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עלה בגיל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מקווקז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ותיאר הליך קליטה רצוף קשיים כלכליים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בסופו של יום תיאר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הסתגל לחיים בארץ והשתלב היטב מן הבחינה החברתית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משפחת מוצאו מונה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 שנפטר לפני מספר חודשים ואם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כל בני משפחתו מנהלים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מעורבות פלילית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השלים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בבית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הספר לקציני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ים בעכו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להישגים לימודיים גבוהים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שרת בצבא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ובנוסף ציין הנאשם במסגרת תסקיר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החל להמר בגיל 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העבירה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 שבפנינו בוצעה בשל הפסדים בהימורים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עולה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בעברו של הנאשם הרשעה קודמת אחת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נדון למאסר שרוצה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באשר לעבירה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מספר חודשים לפני ביצועהּ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פוטר מעבודתו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המשיך לנהל אורח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חיים רגיל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שזוגתו לא תגלה אודות פיטוריו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כשמצבו הכלכלי החמיר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אליבא דנאשם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להימורים לא חוקיים והפסיד סכומי כסף משמעותיים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זאת נקלע ללחצים מגורמים עבריינים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ונדרש לבצע עבורם פעילויות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לשאת ולהעביר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עולה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ביצע שלוש הפרות של הפיקוח האלקטרוני בו מצוי החל מינואר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נוכח גדילתו של הנאשם בתנאי חסך רגשי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נותר לא מעובד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קיימים אצלו קשיים בוויסות הרגשי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ופנייה למציאת שייכות ומענה לצרכיו הרגשיים בסביבה בעייתית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לצד זו התקשתה קצינת המבחן להעריך באופן מלא את חומרת הבעייתיות בתחום ההתמכרותי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והאם נדרשת התערבות טיפולית ייעודית בסוגיה 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התקשה שירות המבחן ליתן המלצה טיפולית שיקומית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להתרשמות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למוטיבציה שביטא הנאשם להשתלבות בטיפול קיים קשר לחששו מתוצאות ההליך המשפטי בעניינו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18.02.2021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נעתרתי לבקשת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להורות לשירות המבחן להגיש תסקיר משלים בעניינו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וקבעתי כך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David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לאחר שקלתי את טענות הצדדים והגם ששירות המבחן ממילא עמוס לעייפה במיוחד בתקופה זו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וספק בעיני אם הגשת תסקיר משלים  נחוצה בנסיבות העניין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אולם על מנת שתנוח גם דעתו של הנאשם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ורק על מנת להבהיר עניין אחד שעלה במסגרת התסקיר בעמ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שם נכתב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התקשינו באופן מלא להעריך מדבריו מצבו בתחום ההתמכרותי</w:t>
      </w:r>
      <w:r>
        <w:rPr>
          <w:rFonts w:cs="David" w:ascii="David" w:hAnsi="David"/>
          <w:b/>
          <w:bCs/>
          <w:rtl w:val="true"/>
        </w:rPr>
        <w:t xml:space="preserve">... </w:t>
      </w:r>
      <w:r>
        <w:rPr>
          <w:rFonts w:ascii="David" w:hAnsi="David"/>
          <w:b/>
          <w:b/>
          <w:bCs/>
          <w:rtl w:val="true"/>
        </w:rPr>
        <w:t>שכן תוכן זה הובא לראשונה בפנינו באבחון הנוכחי</w:t>
      </w:r>
      <w:r>
        <w:rPr>
          <w:rFonts w:cs="David" w:ascii="David" w:hAnsi="David"/>
          <w:b/>
          <w:bCs/>
          <w:rtl w:val="true"/>
        </w:rPr>
        <w:t xml:space="preserve">...", </w:t>
      </w:r>
      <w:r>
        <w:rPr>
          <w:rFonts w:ascii="David" w:hAnsi="David"/>
          <w:b/>
          <w:b/>
          <w:bCs/>
          <w:rtl w:val="true"/>
        </w:rPr>
        <w:t>מבוקש ששירות המבחן יגיש תסקיר משלים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שיתייחס לנקודה זו בלבד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והאם יש מקום להעריך באופן מעמיק יותר את מצבו של הנאשם בתחום ההתמכרותי ואפשרויות הטיפול בו</w:t>
      </w:r>
      <w:r>
        <w:rPr>
          <w:rFonts w:cs="David" w:ascii="David" w:hAnsi="David"/>
          <w:rtl w:val="true"/>
        </w:rPr>
        <w:t>".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107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06.04.2020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 תסקיר משלים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ממנו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הלה הפר פעם נוספת את תנאי הפיקוח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כתוצאה מכך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נערך לנאשם שימוע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הוחלט להותירו בתכנית הפיקוח האלקטרוני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107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107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עלה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פנה ביוזמתו לגורמי הטיפול ביחידה לטיפול בהתמכרויות בנתניה</w:t>
      </w:r>
      <w:r>
        <w:rPr>
          <w:rFonts w:cs="David" w:ascii="David" w:hAnsi="David"/>
          <w:rtl w:val="true"/>
        </w:rPr>
        <w:t>, "</w:t>
      </w:r>
      <w:r>
        <w:rPr>
          <w:rFonts w:ascii="David" w:hAnsi="David"/>
          <w:rtl w:val="true"/>
        </w:rPr>
        <w:t>בית חוסן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וכי גורמי הטיפול לא מצאו את הנאשם מתאים לטיפול במסגרתם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ולא התרשמו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סובל מבעיה התמכרותית הדורשת טיפול ייעודי בתחום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107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107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התרשמה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פנייתו של הנאשם ליחידה להתמכרויות כמו גם בקשתו להשתלב בטיפול במסגרת שירות המבחן מונעת ממוטיבציה חיצונית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ומרצונו של הנאשם לקדם את ההליך המשפטי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מתוך רצון כנה לבחון את מצבו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107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1076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במסגרת תסקיר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 שירות המבחן מקום למעורבות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ונמנע גם במסגרת תסקיר זה מהמלצה טיפולית בעניינו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numPr>
          <w:ilvl w:val="0"/>
          <w:numId w:val="1"/>
        </w:numPr>
        <w:ind w:hanging="72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13.04.2021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נשמעו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נשמעו עדויות מטעמו של הנאשם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מעדותו של מר יצחק גרשומוב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יחד עם הנאשם הם פתחו 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מדרש לנוער בסיכון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הנאשם עזר ותמך בנוער שהגיע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המדרש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עלה מן העדות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אף סייע כספית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המדרש ובזכותו גדל מספר בני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הנוער שהגיעו לבית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המדרש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מעדותו של מר משה טולדנו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משגיח כשרות באולם בחדרה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נהג להפריש מעשר משכרו למשפחות קשות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הואיל ותרומתו של הנאשם ניתנה בסתר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כל רישום לתרומות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מעדותה של 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אגרונוב רחל חיה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היא אם 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הורית לחמישה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במהלך השנים נזקקה לסיוע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קיבלה מן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במשך השנים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ידעה מי תורם לה את הכספים שקיבלה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התבקשה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הרב אוחנה להעיד עבור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שכעת מתברר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שהיה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תרם לה את הכספים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מר שלמה בן אבי העיד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מכיר את הנאשם מזה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באדם אחראי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ובעל יכולות נתינה גבוהות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מר יהודה נחמיה נקי העיד אף הוא על אופיו הטוב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יכולות הנתינה והעזרה שלו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numPr>
          <w:ilvl w:val="0"/>
          <w:numId w:val="1"/>
        </w:numPr>
        <w:ind w:hanging="72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הגישה טיעונים לעונש בכתב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תדפיס מידע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תמונות של האקדחים והתחמושת שנתפסו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התייחסה לעדים שהובאו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הנאשם וטענה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 אין לשאלה האם עוסק הנאשם בגמילות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חסדים כל נפקות לענייננו הואיל ובסופו של יום הודה הנאשם בעובדות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והורשע בעבירה של נשיאה והובלה של שני אקדחים טעונים במחסניות בתא המטען של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הופסקו רק בעטיה של פעילות משטרת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בית המשפט הנכבד להילחם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המחיר הכבד שמשלם הציבור על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מדובר בהחזקה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 שני אקדחים טעונים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על בית משפט ליתן את דעתו גם  לתכנון שקדם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הוא המעורב היחיד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לנזק הפוטנציאלי בנשיאת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הסיבות שהובילו את הנאשם לביצוע העבירה הן עמומות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על מתחם הענישה בענייננו לנוע בין </w:t>
      </w:r>
      <w:r>
        <w:rPr>
          <w:rFonts w:cs="David" w:ascii="David" w:hAnsi="David"/>
        </w:rPr>
        <w:t>3-6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לנאשם הרשעה אחת משנת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להודאתו של הנאשם בעבירה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לקבוע את העונש ברף התחתון של 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להשית על הנאשם ענישה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להורות על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באמצעותו בוצעה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בנוגע לתסקירי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קצינת המבחן לא נתנה המלצה טיפולית שיקומית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אין לחרוג מן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ליתן את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מן התסקיר הראשון עולים קשיים בהערכת חומרת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במיקוד הנסיבות שהובילו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מפורטים גורמי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ביניהם קושי בלקיחת אחריות מלאה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ודגש על כך שהמוטיבציה של הנאשם לקבל טיפול נובעת מחשש לתוצאות ההליך הפלילי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מן התסקיר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הפר את תנאי האיזוק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 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 עולים דפוסים של התמכרות להימורים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פנייתו של הנאשם לטיפול נובעת ממוטיבציה חיצונית ולא מתוך  עמדה כנה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651" w:leader="none"/>
        </w:tabs>
        <w:spacing w:lineRule="auto" w:line="360"/>
        <w:ind w:hanging="712" w:start="108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  <w:tab/>
      </w: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טען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האקדחים היו בתא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המטען של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עובדה אשר מצביעה על כך שלא הייתה לנאשם כוונה להשתמש בהם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מדובר באקדחים מאולתרים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וכלשונו של הסניגור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לא אקדח בעל יכולות גבוהות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651" w:leader="none"/>
        </w:tabs>
        <w:spacing w:lineRule="auto" w:line="360"/>
        <w:ind w:hanging="712"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הגם ששירות המבחן לא המליץ על תכנית טיפולית שיקומית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את הדעת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לכך שלא צוין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מסוכנותו של הנאשם גבוהה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קיים סיכוי גדול להישנות התנהגותו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הדגיש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הפערים שקיימים במידע שמסר הנאשם לשירות המבחן במסגרת תסקיר המעצר והמידע שמסר במסגרת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סוגית ההתמכרות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נובעים  מן השוני הקיים במהות התסקירים השונים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קיבל על עצמו אחריות מלאה לביצוע העבירה כבר מן הרגע בו נעצר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משטרת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שיתף פעולה עם משטרת ישראל באופן מלא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ובנוסף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המאשימה לא הניחה תשתית ראייתית לכך שהנאשם רצה לעשות שימוש בנשק או לסחור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אין לפסול את דבריו של הנאשם לשירות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לפיהם הוא ביצע את העבירה בעטיים של החובות אותם צבר מן ההימורים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לנאשם עבר פלילי הקשור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העבירה היחידה בה הורשע הייתה לפני יותר מעשור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עבירת 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מאז אותה 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חי הנאשם חיים נורמטיביים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עובד למחייתו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מסייע לזולת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כעולה מן העדויות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באדם חיובי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שגה ומעד מעידה 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פעמית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היה עצור כחודשיים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התאריכים </w:t>
      </w:r>
      <w:r>
        <w:rPr>
          <w:rFonts w:cs="David" w:ascii="David" w:hAnsi="David"/>
        </w:rPr>
        <w:t>17.12.2019-27.01.2020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מזה כ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מצוי באיזוק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בית המשפט ליתן את הדעת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אליבא דב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הואיל ובמהלך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נולד לנאשם ילד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עבד בתקופה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אשתו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חדשה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יכולה לעבוד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מכיוון שהיא מפקחת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שאביו של הנאשם נפטר במהלך תקופה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ועובר לפטירתו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בשל תנאי האיזוק האלקטרוני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יכול היה הנאשם להיפרד מאביו כדבעי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העבירה בענייננו היא אירוע נקודתי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יש להעדיף את חלופת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לכך שמאסר מאחורי סורג ובריח בהכרח יגרמו להידרדרות במצבו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מן הבחינה הכלכלית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והן מן הבחינה האישית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 סבר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להשית על הנאשם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ירוצה בדרך של 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הגיש אסופת פסיקה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והפנה דבריו ל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21873-06-16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צברי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04.02.2019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נגזר על הנאשם בעבירות נשק מאסר בפועל לתקופה של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לריצוי בעבודות שירות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 xml:space="preserve">-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52497-02-11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חמזי מטר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05.03.2012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נגזרו על נאשם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לריצוי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</w:t>
      </w:r>
      <w:r>
        <w:rPr>
          <w:rFonts w:cs="David" w:ascii="David" w:hAnsi="David"/>
          <w:rtl w:val="true"/>
        </w:rPr>
        <w:t xml:space="preserve">- </w:t>
      </w:r>
      <w:hyperlink r:id="rId12">
        <w:r>
          <w:rPr>
            <w:rStyle w:val="Hyperlink"/>
            <w:rFonts w:ascii="David" w:hAnsi="David"/>
            <w:rtl w:val="true"/>
          </w:rPr>
          <w:t>ע</w:t>
        </w:r>
        <w:r>
          <w:rPr>
            <w:rStyle w:val="Hyperlink"/>
            <w:rFonts w:cs="David" w:ascii="David" w:hAnsi="David"/>
            <w:rtl w:val="true"/>
          </w:rPr>
          <w:t>"</w:t>
        </w:r>
        <w:r>
          <w:rPr>
            <w:rStyle w:val="Hyperlink"/>
            <w:rFonts w:ascii="David" w:hAnsi="David"/>
            <w:rtl w:val="true"/>
          </w:rPr>
          <w:t xml:space="preserve">פ </w:t>
        </w:r>
        <w:r>
          <w:rPr>
            <w:rStyle w:val="Hyperlink"/>
            <w:rFonts w:cs="David" w:ascii="David" w:hAnsi="David"/>
          </w:rPr>
          <w:t>1505/15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אחמד לידאוי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04.11.2014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גזר בית המשפט המחוזי על נאשם בעבירות של נשיאה והובלת נשק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קיבל את הערעור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וגזר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אף שלא ניתנה המלצה של 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46365-11-19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מוחמד ארפאעיה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02.11.2020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נגזרו על נאשם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בדרך של עבודות שירות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17376-05-20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מיל חליל ואח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10.03.2021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נגזרו על נאשם שנשא והוביל שני תתי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מקלע מאולתרים מסוג קרל גוסטב </w:t>
      </w: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המלצה שח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מעצר בפועל 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עוד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ל</w:t>
      </w:r>
      <w:r>
        <w:rPr>
          <w:rFonts w:cs="David" w:ascii="David" w:hAnsi="David"/>
          <w:rtl w:val="true"/>
        </w:rPr>
        <w:t>-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520-07-17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עמרם אסבן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23.01.2018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שם הורשע הנאשם בעבירה של החזקה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נשיאה והובלה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ונגזרו עליו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לטענת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 מן הפסיקה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מרכיב מרכזי בקביעת העונש נטוע במספר חודשים בהם היה נתון הנאשם באיזוק אלקטרוני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הגם שמגמת בית המשפט העליון היא החמרה בכל הנוגע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בנסיבותיו של הנאשם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שעלו במהלך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מעדויות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האופי שנשמעו בפני בית המשפט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429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עצמו העיד וטען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במשך חייו הוא סייע רבות לזולת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ביצוע העבירה מושא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לדבריו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הייתה שגיאה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ובדיעבד הוא סבור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היה עליו לנהוג אחרת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ולפנות לעזרה מרשויות אכיפת החוק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טען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הגם שהוא מצר מאוד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בתנאי הפיקוח בהם שהה במהלך תקופה ארוכה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מן העונש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 למצבו המשפחתי הייחודי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התחתן עם בת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זוג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שזה לא מכבר עלתה לארץ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בנו נולד במהלך תקופה זו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טען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בתקופה זו חלה אביו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הוא לא נפרד ממנו כדבעי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היותו בתנאי פיקוח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429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כאמור כבר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המאשימה אף הגישה טיעונים לעונש בכתב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ובהם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הנאשם היה עצור בין התאריכים </w:t>
      </w:r>
      <w:r>
        <w:rPr>
          <w:rFonts w:cs="David" w:ascii="David" w:hAnsi="David"/>
          <w:sz w:val="24"/>
          <w:szCs w:val="24"/>
        </w:rPr>
        <w:t>17.12.2019-27.01.2020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27.01.2020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נעצר הנאשם בפיקוח אלקטרוני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ישהה במעצר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בית מלא בבית הוריו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חלונות התאווררות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בהמשך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10.06.2020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הקל בית המשפט בתנאי המעצר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והתיר לו לצאת לחלונות התאווררות למשך שעתיים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וביום </w:t>
      </w:r>
      <w:r>
        <w:rPr>
          <w:rFonts w:cs="David" w:ascii="David" w:hAnsi="David"/>
          <w:sz w:val="24"/>
          <w:szCs w:val="24"/>
        </w:rPr>
        <w:t>27.10.2020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הרחיב בית המשפט את חלונות ההתאווררות למשך </w:t>
      </w:r>
      <w:r>
        <w:rPr>
          <w:rFonts w:cs="David" w:ascii="David" w:hAnsi="David"/>
          <w:sz w:val="24"/>
          <w:szCs w:val="24"/>
        </w:rPr>
        <w:t>4.5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שעות בכל יום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הנאשם שוהה בתנאים אלה נכון למועד זה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היו מבוצעות אלימות באמצעות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אלמלא הייתה קיימת תופעה של החזקה בלתי חוקית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תופעת החזקת נשק בלתי חוקי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הפכה למכת 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ועל בית המשפט מוטלת חובה להילחם בתופעה זו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באמצעות ענישה מחמירה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לנסיבות הקשורות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כל הנסיבות אודות האופן בו הוא השיג את הנשק נותרו בערפל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ברי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אליבא דמאשימה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אין מדובר במעשה ספונטני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התרחש במקרה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אם במעשה מתוכנן היטב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לטענת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המעורב היחיד ומכאן שחלקו בביצוע העבירה מוחלט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אמנם לא נעשה שימוש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הנזק שצפוי היה להיגרם לו היה עושה הנאשם שימוש בו הוא גבוה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ניתן רק לשער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מהן הסיבות אשר הובילו את הנאשם לבצע את העבירה המיוחסת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אולם לטענת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אם היה זה רצון לעשות בו שימוש או בין אם רצון לסחור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להשית על הנאשם ענישה מחמירה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בנוגע 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הפנתה המאשימה למספר פסקי דין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15423-12-19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רוש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11.08.2020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נתפס נאשם עת נשא הוא אקדח חצי אוטומטי ובתוכו 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כדור אחד ומשתיק קול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ניסה לברוח משוטרי משטרת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הורו לו לעצור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קבע מתחם 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נע בין </w:t>
      </w:r>
      <w:r>
        <w:rPr>
          <w:rFonts w:cs="David" w:ascii="David" w:hAnsi="David"/>
          <w:sz w:val="24"/>
          <w:szCs w:val="24"/>
        </w:rPr>
        <w:t>2-4.5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 לצד עונש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קנס משמעותי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3877/16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פאדי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17.11.2016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באלי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דחה בית המשפט העליון את ערעורו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עבר פלילי מכביד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הורשע בעבירה של נשיאת אקדח טעון במחסנית וכדורים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ונגזרו עליו </w:t>
      </w:r>
      <w:r>
        <w:rPr>
          <w:rFonts w:cs="David" w:ascii="David" w:hAnsi="David"/>
        </w:rPr>
        <w:t>34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 מתחם הענישה נקבע בין </w:t>
      </w:r>
      <w:r>
        <w:rPr>
          <w:rFonts w:cs="David" w:ascii="David" w:hAnsi="David"/>
        </w:rPr>
        <w:t>24-48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47284-06-18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אמסאלם חסונה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03.04.2019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נאשם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הודאתו בעבירה של נשיאת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קבע מתחם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נע בין </w:t>
      </w:r>
      <w:r>
        <w:rPr>
          <w:rFonts w:cs="David" w:ascii="David" w:hAnsi="David"/>
        </w:rPr>
        <w:t>21-48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נדון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9373/10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חמד ותד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14.09.2011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הורשע נאשם בעבירה של נשיאה והחזקה של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החזיק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ובו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 היו תשעה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ובחצרו נתפסו </w:t>
      </w:r>
      <w:r>
        <w:rPr>
          <w:rFonts w:cs="David" w:ascii="David" w:hAnsi="David"/>
        </w:rPr>
        <w:t>63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נוספים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לנאשם היו שלוש 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גזר על הנאשם 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העליון 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להחמיר בעונשם של אלו המבצעים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יש לעשות כן בהדרגה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והפחית את עונשו של הנאשם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סמיר בסל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08.03.2017</w:t>
      </w:r>
      <w:r>
        <w:rPr>
          <w:rFonts w:cs="David" w:ascii="David" w:hAnsi="David"/>
          <w:rtl w:val="true"/>
        </w:rPr>
        <w:t xml:space="preserve">),  </w:t>
      </w:r>
      <w:r>
        <w:rPr>
          <w:rFonts w:ascii="David" w:hAnsi="David"/>
          <w:rtl w:val="true"/>
        </w:rPr>
        <w:t>קיבל בית המשפט העליון את ערעורה של המדינה על קולת העונש שהושת על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צעיר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הרשעתו בעבירה של החזקת ונשיאת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שעונשו של המשיב יעמוד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חלף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המאסר שנגזרו עליו בבית המשפט המחוזי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שאינן קשורות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להתחשב בכך שהנאשם הודה 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וחסך זמן שיפוטי יקר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מצד 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הבין את מעשיו ואת השלכותיהם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אינו קטין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קרוב לכל סייג לאחריות פלילית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לא היה במצוקה נפשית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המאשימה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לטעמה מקום לסטות ממתחם הענישה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שייקבע בשל שיקולי שיקום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מתחם הענישה ההולם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 בין </w:t>
      </w:r>
      <w:r>
        <w:rPr>
          <w:rFonts w:cs="David" w:ascii="David" w:hAnsi="David"/>
        </w:rPr>
        <w:t>3-6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נוכח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אינו בעל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נטל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ושהה במעצר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למקם את עונשו של הנאשם בחלקו התחתון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כמו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כן עתרה המאשימה להשית על הנאשם מאסר מותנה ארוך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כספי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לחלט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לסעיף </w:t>
      </w:r>
      <w:hyperlink r:id="rId21">
        <w:r>
          <w:rPr>
            <w:rStyle w:val="Hyperlink"/>
            <w:rFonts w:cs="David" w:ascii="David" w:hAnsi="David"/>
          </w:rPr>
          <w:t>39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 סדר הדין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ט – 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בוצעה העבירה באמצעות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פסיקה עקבית של בית המשפט העליון קבעה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ליתן חומרה יתרה לעבירות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סוגיהן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הסכנה הגבוהה הנשקפת מהן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אף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לב לגישת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המחוקק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אשר קבע לצידן של עבירות אלו ענישה מחמירה</w:t>
      </w:r>
      <w:r>
        <w:rPr>
          <w:rFonts w:cs="David" w:ascii="David" w:hAnsi="David"/>
          <w:spacing w:val="10"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אפנה לדבריו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אלרון 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סובח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05.11.2019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בפסקה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start="793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tabs>
          <w:tab w:val="clear" w:pos="720"/>
          <w:tab w:val="left" w:pos="800" w:leader="none"/>
        </w:tabs>
        <w:spacing w:before="0" w:after="420"/>
        <w:ind w:start="1440" w:end="0"/>
        <w:jc w:val="both"/>
        <w:textAlignment w:val="baseline"/>
        <w:rPr/>
      </w:pPr>
      <w:r>
        <w:rPr>
          <w:rFonts w:ascii="David" w:hAnsi="David" w:cs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 w:cs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 xml:space="preserve">ח מבקר המדינה </w:t>
      </w:r>
      <w:r>
        <w:rPr>
          <w:rFonts w:ascii="David" w:hAnsi="David" w:cs="David"/>
          <w:b/>
          <w:b/>
          <w:bCs/>
          <w:spacing w:val="0"/>
          <w:rtl w:val="true"/>
        </w:rPr>
        <w:t>התמודדות משטרת ישראל עם החזקת אמצעי לחימה לא חוקיים ואירועי ירי ביישובי החברה הערבית וביישובים מעורבים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Ruller41"/>
        <w:ind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b/>
          <w:bCs/>
          <w:sz w:val="24"/>
          <w:szCs w:val="24"/>
          <w:rtl w:val="true"/>
        </w:rPr>
        <w:t>....</w:t>
      </w:r>
    </w:p>
    <w:p>
      <w:pPr>
        <w:pStyle w:val="Ruller41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144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דברים אלו אף באו לידי ביטוי לאחרונה בדברי הנשיאה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חיות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בטקס פתיחת שנת המשפט הנוכחית של לשכת עורכי הדין בנצרת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end="128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51"/>
        <w:spacing w:lineRule="auto" w:line="360"/>
        <w:ind w:start="2160" w:end="128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מערכת בתי המשפט משקיעה מאמצים רבים בתחום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Ruller41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לכך ולנוכח ריבוי מקרי הירי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גם להגעתו של נשק זה לגורמים עויינים ובכללם גורמי טרור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Ruller41"/>
        <w:ind w:start="144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144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נמצא אפוא כי בנסיבות דהיום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ראוי ונכון להחמיר את מדיניות הענישה הנוהגת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Ruller41"/>
        <w:ind w:start="1440" w:end="0"/>
        <w:jc w:val="both"/>
        <w:rPr/>
      </w:pPr>
      <w:r>
        <w:rPr>
          <w:rtl w:val="true"/>
        </w:rPr>
      </w:r>
    </w:p>
    <w:p>
      <w:pPr>
        <w:pStyle w:val="Ruller51"/>
        <w:spacing w:lineRule="auto" w:line="360"/>
        <w:ind w:start="107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וכן לדבריו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מזוז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התשתית ו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הגורם בלעדו איין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causa sine qua non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למגוון רחב של 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המשך בעבירות גרימת חבלה חמורה וכלה בעבירות המתה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מעבר למאמץ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לשים יד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rtl w:val="true"/>
        </w:rPr>
        <w:t xml:space="preserve">. [...] </w:t>
      </w:r>
      <w:r>
        <w:rPr>
          <w:rFonts w:ascii="David" w:hAnsi="David"/>
          <w:b/>
          <w:b/>
          <w:bCs/>
          <w:rtl w:val="true"/>
        </w:rPr>
        <w:t>ביעור תופעת החזקת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ייבוש הביצה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המשמשת ערס לגידולן של תופעות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ידי ענישה מחמירה ומרתיעה לעבירות נשק בלתי חוקי באשר הן </w:t>
      </w:r>
      <w:r>
        <w:rPr>
          <w:rFonts w:cs="David" w:ascii="David" w:hAnsi="David"/>
          <w:b/>
          <w:bCs/>
          <w:rtl w:val="true"/>
        </w:rPr>
        <w:t>[...]"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במעשיו פגע הנאשם בביטחון הפרט והציבור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ובשלומו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על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בכביש </w:t>
      </w:r>
      <w:r>
        <w:rPr>
          <w:rFonts w:cs="David" w:ascii="David" w:hAnsi="David"/>
        </w:rPr>
        <w:t>6353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לכיוון חריש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בתא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המטען </w:t>
      </w:r>
      <w:r>
        <w:rPr>
          <w:rFonts w:ascii="David" w:hAnsi="David"/>
          <w:b/>
          <w:b/>
          <w:bCs/>
          <w:u w:val="single"/>
          <w:rtl w:val="true"/>
        </w:rPr>
        <w:t>שני אקדחים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כל אחד מהם טעון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ובתוכה חמישה כדורים בקוטר </w:t>
      </w:r>
      <w:r>
        <w:rPr>
          <w:rFonts w:cs="David" w:ascii="David" w:hAnsi="David"/>
          <w:b/>
          <w:bCs/>
          <w:u w:val="single"/>
        </w:rPr>
        <w:t>9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 xml:space="preserve">וכן נשא והוביל שני כדורים נוספים בקוטר </w:t>
      </w:r>
      <w:r>
        <w:rPr>
          <w:rFonts w:cs="David" w:ascii="David" w:hAnsi="David"/>
          <w:b/>
          <w:bCs/>
          <w:u w:val="single"/>
        </w:rPr>
        <w:t>9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מ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עולה מעובדות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נעצר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ידי משטרת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הובל לתחנת משטרת עירון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בחיפוש נוסף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נתפסו ברכב שני הכדורים הנוספים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במי שהוביל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 ותחמושת לצידם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בנאשם שהוביל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שני אקדחים </w:t>
      </w:r>
      <w:r>
        <w:rPr>
          <w:rFonts w:ascii="David" w:hAnsi="David"/>
          <w:u w:val="single"/>
          <w:rtl w:val="true"/>
        </w:rPr>
        <w:t>טעונים</w:t>
      </w:r>
      <w:r>
        <w:rPr>
          <w:rFonts w:ascii="David" w:hAnsi="David"/>
          <w:rtl w:val="true"/>
        </w:rPr>
        <w:t xml:space="preserve"> במחסנית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אחד מהם חמישה 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צורך להכביר מילים על המשמעויות וההשלכות של שוני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Ruller41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באשר 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הפנו באי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 הצדדים לפסיקה רלוונטית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אף הגיש לעיוני אסופת 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של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של בתי המשפט המחוזיים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מן החומר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קיים מנעד רחב ביותר של פסיקה באשר לענישה בעבירה האמורה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פסיקה שבה הסתפקו בתי המשפט בהטלת עונש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עמדו בתי המשפט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כך שלא ניתן להימנע בעבירה מסוג זה מלהטיל על הנאשם עונש של מאסר בפועל לריצוי 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קראתי את הפסיקה אליה הפנו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מן הפסיקה אליה הפנתה המאשימה עולות נסיבות חמורות מן הנסיבות אשר מתוארות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ריבוי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נאשמים בעלי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 הפסיקה אליה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בהן הנסיבות שונות בתכלית מאלו שבעניינו של הנאשם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נאשמים בעלי מצב בריאותי קשה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חלקן נדונו בערכאות הערעור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ערכאת הערעור אינה נוטה למצות את חומרת הדין עם 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מקריאה מעמיקה של פסיקת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שופטיו התוו מימים ימימה את מדיניות הענישה הראויה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במציאות הנכוחה של ימינו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מילותיהם מקבלות משנה תוקף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השופטת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חיות בעניין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באלי</w:t>
      </w:r>
      <w:r>
        <w:rPr>
          <w:rFonts w:cs="David" w:ascii="David" w:hAnsi="David"/>
          <w:rtl w:val="true"/>
        </w:rPr>
        <w:t>:</w:t>
      </w:r>
    </w:p>
    <w:p>
      <w:pPr>
        <w:pStyle w:val="Ruller42"/>
        <w:ind w:start="1440" w:end="0"/>
        <w:jc w:val="both"/>
        <w:rPr>
          <w:rFonts w:ascii="David" w:hAnsi="David" w:cs="David"/>
          <w:b/>
          <w:bCs/>
          <w:spacing w:val="0"/>
        </w:rPr>
      </w:pPr>
      <w:r>
        <w:rPr>
          <w:rFonts w:cs="David" w:ascii="David" w:hAnsi="David"/>
          <w:b/>
          <w:bCs/>
          <w:spacing w:val="0"/>
          <w:rtl w:val="true"/>
        </w:rPr>
      </w:r>
    </w:p>
    <w:p>
      <w:pPr>
        <w:pStyle w:val="Ruller42"/>
        <w:ind w:start="1440" w:end="0"/>
        <w:jc w:val="both"/>
        <w:rPr/>
      </w:pPr>
      <w:r>
        <w:rPr>
          <w:rFonts w:cs="David" w:ascii="David" w:hAnsi="David"/>
          <w:b/>
          <w:bCs/>
          <w:spacing w:val="0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בית משפט זה עמד פעמים רבות על </w:t>
      </w:r>
      <w:r>
        <w:rPr>
          <w:rFonts w:ascii="David" w:hAnsi="David" w:cs="David"/>
          <w:b/>
          <w:b/>
          <w:bCs/>
          <w:rtl w:val="true"/>
        </w:rPr>
        <w:t>החומרה היתרה הגלומה בביצוע עבירות בנשק ובכללן העבירה של החזקת נשק או נשיאתו שלא כדין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עבירות אלה מקימות סיכון חמור לשלום הציבור וביטחונו ומחייבות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David" w:ascii="David" w:hAnsi="David"/>
          <w:b/>
          <w:bCs/>
          <w:rtl w:val="true"/>
        </w:rPr>
        <w:t>" (</w:t>
      </w:r>
      <w:hyperlink r:id="rId23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5120/11</w:t>
        </w:r>
      </w:hyperlink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שתיווי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spacing w:val="0"/>
          <w:rtl w:val="true"/>
        </w:rPr>
        <w:t>, 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בפסקה </w:t>
      </w:r>
      <w:r>
        <w:rPr>
          <w:rFonts w:cs="David" w:ascii="David" w:hAnsi="David"/>
          <w:b/>
          <w:bCs/>
          <w:spacing w:val="0"/>
        </w:rPr>
        <w:t>5</w:t>
      </w:r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18.12.2011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4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4329/10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פלוני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25.10.2010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 w:cs="David"/>
          <w:b/>
          <w:b/>
          <w:bCs/>
          <w:rtl w:val="true"/>
        </w:rPr>
        <w:t>עוד נפסק כי חומרתן של העבירות בנשק אינה מסתכמת רק בנזק שאירע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כי אם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 בפוטנציאל </w:t>
      </w:r>
      <w:r>
        <w:rPr>
          <w:rFonts w:ascii="David" w:hAnsi="David" w:cs="David"/>
          <w:b/>
          <w:b/>
          <w:bCs/>
          <w:rtl w:val="true"/>
        </w:rPr>
        <w:t xml:space="preserve">הנזק הנובע מאותן עבירות </w:t>
      </w:r>
      <w:r>
        <w:rPr>
          <w:rFonts w:cs="David" w:ascii="David" w:hAnsi="David"/>
          <w:b/>
          <w:bCs/>
          <w:rtl w:val="true"/>
        </w:rPr>
        <w:t>(</w:t>
      </w:r>
      <w:hyperlink r:id="rId25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116/13</w:t>
        </w:r>
      </w:hyperlink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וקנין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 xml:space="preserve">בפסקה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31.7.2013</w:t>
      </w:r>
      <w:r>
        <w:rPr>
          <w:rFonts w:cs="David" w:ascii="David" w:hAnsi="David"/>
          <w:b/>
          <w:bCs/>
          <w:rtl w:val="true"/>
        </w:rPr>
        <w:t xml:space="preserve">))"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אפנה לפסק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דינו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פוגלמן מן העת האחרונה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ממנו אף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קיימת מגמה של החמרה בענישה בעבירות הנשק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8017/20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פאדי גריפאת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22.12.2020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Ruller41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עמד בשורה ארוכה של פסקי דין על החומרה היתרה של עבירות הנשק ועל הסכנה הגבוהה שנשקפת מהן לשלום הציבור ולביטחונו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מיני רבים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1944/20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אמארה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2.9.2020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אמארה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עניין געביס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חומרתן של עבירות אלו נובעת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גם מהחשש כי הנשק יועבר למי שמתכוון לעשות בו שימוש לפעילות עבריינית או לפעילות טרור </w:t>
      </w:r>
      <w:r>
        <w:rPr>
          <w:rFonts w:cs="David" w:ascii="David" w:hAnsi="David"/>
          <w:b/>
          <w:bCs/>
          <w:rtl w:val="true"/>
        </w:rPr>
        <w:t>(</w:t>
      </w:r>
      <w:hyperlink r:id="rId2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19.1.2014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2251/11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4.12.2011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u w:val="single"/>
          <w:rtl w:val="true"/>
        </w:rPr>
        <w:t>נוכח האמור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חזר וציין בית משפט זה כי קיימת מגמה של החמרה בענישה בעבירות אלו וזאת על מנת להרתיע מפני 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 עניין אמארה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3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8045/17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פסקאות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16.8.2018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בראנסי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93" w:end="0"/>
        <w:jc w:val="both"/>
        <w:rPr/>
      </w:pPr>
      <w:r>
        <w:rPr>
          <w:rFonts w:ascii="David" w:hAnsi="David"/>
          <w:rtl w:val="true"/>
        </w:rPr>
        <w:t>עוד ובנוסף אפנה לפסק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דינו העכשווי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שטיין ב</w:t>
      </w:r>
      <w:r>
        <w:rPr>
          <w:rFonts w:cs="David" w:ascii="David" w:hAnsi="David"/>
          <w:rtl w:val="true"/>
        </w:rPr>
        <w:t>-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9306/20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מארון ברגות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29.04.2021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800" w:leader="none"/>
        </w:tabs>
        <w:ind w:start="1440" w:end="0"/>
        <w:jc w:val="both"/>
        <w:textAlignment w:val="baseline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באחרונה הזדמן לי להדגיש ולהבהיר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בהסכמת חברותיי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הנשיאה </w:t>
      </w:r>
      <w:r>
        <w:rPr>
          <w:rFonts w:ascii="David" w:hAnsi="David" w:cs="David"/>
          <w:b/>
          <w:b/>
          <w:bCs/>
          <w:spacing w:val="0"/>
          <w:rtl w:val="true"/>
        </w:rPr>
        <w:t>א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חיות</w:t>
      </w:r>
      <w:r>
        <w:rPr>
          <w:rFonts w:ascii="David" w:hAnsi="David" w:cs="David"/>
          <w:b/>
          <w:b/>
          <w:bCs/>
          <w:rtl w:val="true"/>
        </w:rPr>
        <w:t xml:space="preserve"> והשופטת </w:t>
      </w:r>
      <w:r>
        <w:rPr>
          <w:rFonts w:ascii="David" w:hAnsi="David" w:cs="David"/>
          <w:b/>
          <w:b/>
          <w:bCs/>
          <w:spacing w:val="0"/>
          <w:rtl w:val="true"/>
        </w:rPr>
        <w:t>י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וילנר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 w:cs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32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ביטון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Times New Roman" w:hAnsi="Times New Roman"/>
          <w:b/>
          <w:bCs/>
          <w:spacing w:val="0"/>
          <w:sz w:val="22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2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>פס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14.2.2021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 w:cs="David"/>
          <w:b/>
          <w:b/>
          <w:bCs/>
          <w:rtl w:val="true"/>
        </w:rPr>
        <w:t>סבורני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כי נחטא לחובתנו זו אם נקל בעונשו של המערער דכאן אפילו במקצת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Ruller42"/>
        <w:tabs>
          <w:tab w:val="clear" w:pos="720"/>
          <w:tab w:val="left" w:pos="800" w:leader="none"/>
        </w:tabs>
        <w:ind w:end="0"/>
        <w:jc w:val="both"/>
        <w:textAlignment w:val="baseline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800" w:leader="none"/>
        </w:tabs>
        <w:ind w:end="0"/>
        <w:jc w:val="both"/>
        <w:textAlignment w:val="baseline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ודומני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אין אמירות ברורות מאלו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בד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העיקרון הנוהג בפסיקה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 לפי נסיבות ביצוע העבירה ונסיבותיו של מבצע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יפים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דבריו של המשנה לנשיאה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אלון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</w:t>
      </w:r>
      <w:r>
        <w:rPr>
          <w:rFonts w:cs="David" w:ascii="David" w:hAnsi="David"/>
          <w:rtl w:val="true"/>
        </w:rPr>
        <w:t xml:space="preserve">- </w:t>
      </w:r>
      <w:hyperlink r:id="rId3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433/89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אטיאס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פ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מג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170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start="1296" w:end="0"/>
        <w:jc w:val="both"/>
        <w:rPr>
          <w:rFonts w:ascii="David" w:hAnsi="David" w:cs="Arial"/>
          <w:sz w:val="22"/>
          <w:szCs w:val="22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כידוע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אחד השיקולים החשובים בשיקולי הענישה הוא מהותה של העבירה וחומרתה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שיקול זה קשור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בקשר הדוק עם שיקול ההרתעה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למען ישמעו וייראו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לשני שיקולים אלה מיתוסף שיקול נוסף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והוא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קיום מדיניות אחידה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 האפשר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שתשמש כקו מנחה וכמורה דרך בעולמה של 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ושיקול אחרון זה יפה הוא במיוחד לפסיקתו של בית המשפט העליון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שהמחוקק הפקידו על קביעת מדיניות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בנוסף לכל השיקולים האמורים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ועומד השיקול החשוב והמהותי של תיקונו של הנאשם ושיקומו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ובהתקיים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במקרה מסוים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נסיבות מיוחדות ונכונות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ייתכן ששיקול אחרון זה יגבר על השיקולים האמורים האחרים ויקבע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באותו מקרה מסוים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את מידת העונש וצורתו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ענישתנו היא ענישה אינדיווידואלית של כל עבריין 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באשר הוא שם</w:t>
      </w:r>
      <w:r>
        <w:rPr>
          <w:rFonts w:cs="David" w:ascii="David" w:hAnsi="David"/>
          <w:b/>
          <w:bCs/>
          <w:u w:val="single"/>
          <w:rtl w:val="true"/>
        </w:rPr>
        <w:t>'" (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291/81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[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], </w:t>
      </w:r>
      <w:r>
        <w:rPr>
          <w:rFonts w:ascii="David" w:hAnsi="David"/>
          <w:b/>
          <w:b/>
          <w:bCs/>
          <w:u w:val="single"/>
          <w:rtl w:val="true"/>
        </w:rPr>
        <w:t>בעמ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u w:val="single"/>
        </w:rPr>
        <w:t>442</w:t>
      </w:r>
      <w:r>
        <w:rPr>
          <w:rFonts w:cs="David" w:ascii="David" w:hAnsi="David"/>
          <w:b/>
          <w:bCs/>
          <w:u w:val="single"/>
          <w:rtl w:val="true"/>
        </w:rPr>
        <w:t xml:space="preserve">). </w:t>
      </w:r>
      <w:r>
        <w:rPr>
          <w:rFonts w:ascii="David" w:hAnsi="David"/>
          <w:b/>
          <w:b/>
          <w:bCs/>
          <w:u w:val="single"/>
          <w:rtl w:val="true"/>
        </w:rPr>
        <w:t>זאת תורת הגישה האינדיווידואלית בתורת הענישה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המקובלת עלינו כקו מנחה בסוגיה קשה וסבוכה זו 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הענישה ומטרותיה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ואין אנו רשאים ל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הקל</w:t>
      </w:r>
      <w:r>
        <w:rPr>
          <w:rFonts w:cs="David" w:ascii="David" w:hAnsi="David"/>
          <w:b/>
          <w:bCs/>
          <w:u w:val="single"/>
          <w:rtl w:val="true"/>
        </w:rPr>
        <w:t xml:space="preserve">" </w:t>
      </w:r>
      <w:r>
        <w:rPr>
          <w:rFonts w:ascii="David" w:hAnsi="David"/>
          <w:b/>
          <w:b/>
          <w:bCs/>
          <w:u w:val="single"/>
          <w:rtl w:val="true"/>
        </w:rPr>
        <w:t>על עצמנו ולהחמיר עם הנאשם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מתוך הסתמכות על הנימוק והחשש שמא הקלה במקרה מסוים הראוי לכך תשמש תקדים למקרים אחרים שאינם ראויים לכך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חזקה על בית המשפט שיידע להבחין בין מקרה למקרה לגופן של נסיבות ולעיצומם של דברים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העבירות בהן הורשע הנאשם אינן נמנות עם המקרים החמורים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 ועבירת נשיאת הנשק המיוחסת לנאשם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 היא לאותו פרק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זמן קצר המתואר בעובדות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טענה לפיה החזיק הנאשם בנשק במועד שונה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start="720" w:end="0"/>
        <w:jc w:val="both"/>
        <w:rPr/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הגם שאליבא דמאשימה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להניח לחובתו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נשא והוביל נשק למטרות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כשרות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ובלשונה של המאשימה בפסקה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לטיעונים לעונש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ניתן רק לשער מה הסיבות אשר הובילו את הנאשם לבצע את העבירה המיוחסת לו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בין אם רצון לעשות שימוש בנשק ובין אם רצון לסחור בו</w:t>
      </w:r>
      <w:r>
        <w:rPr>
          <w:rFonts w:cs="David" w:ascii="David" w:hAnsi="David"/>
          <w:b/>
          <w:bCs/>
          <w:rtl w:val="true"/>
        </w:rPr>
        <w:t>....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אינו מייחס זאת לנאשם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לכך שהנאשם נשא והוביל את שני האקדחים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הם טעונים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והלכה למעשה מוכנים לירי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מדובר באירוע ספונטני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התרחש במקרה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בכך שהנאשם הוא המעורב היחיד בעבירה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כפי שהדגשתי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 מעבירה זו הוא עצום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793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אין בידי לקבל את 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לפיה הגם שהנאשם נשא והוביל אקדחים טעונים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באקדחים מאולתרים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הנזק היכול להיגרם מהם נמוך יותר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מן העולה מסעיף מס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לזכור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האקדחים הם כלי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נשק שסוגלו לירות כדור או קליע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בכוחם להמית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המחסניות והכדורים הם אביזרים ותחמושת לנשק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והנאשם נשא והוביל אותם בלא רשות על פי דין לנשיאתם והובלתם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ואידך זיל גמור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494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בהתחשב במכלול הנסיבות שמניתי לעיל הקשורות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והערכים החברתיים שנפגעו כתוצאה מביצועה ולאחר שעמדתי על מדיניות הענישה הנהוגה בנסיבות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קובע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מתחם הענישה הראוי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מאסר בפועל לתקופה שנעה בין </w:t>
      </w:r>
      <w:r>
        <w:rPr>
          <w:rFonts w:cs="David" w:ascii="David" w:hAnsi="David"/>
          <w:sz w:val="24"/>
          <w:szCs w:val="24"/>
        </w:rPr>
        <w:t>16-36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לצד עונשים נלווים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494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רשאי לחרוג ממתחם העונש ההולם או לקולא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שיקולי שיקום וטיפול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לחומרא בשל הגנה על שלום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David"/>
        <w:ind w:start="79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המליץ שירות המבחן על מתווה טיפולי ושיקומי בעניינו של הנאשם לא בתסקיר מיום </w:t>
      </w:r>
      <w:r>
        <w:rPr>
          <w:rFonts w:cs="David" w:ascii="David" w:hAnsi="David"/>
        </w:rPr>
        <w:t>15.02.2021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 בתסקיר המשלים מיום </w:t>
      </w:r>
      <w:r>
        <w:rPr>
          <w:rFonts w:cs="David" w:ascii="David" w:hAnsi="David"/>
        </w:rPr>
        <w:t>06.04.2021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כמפורט בפסקאות </w:t>
      </w:r>
      <w:r>
        <w:rPr>
          <w:rFonts w:cs="David" w:ascii="David" w:hAnsi="David"/>
        </w:rPr>
        <w:t>3-4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התרשמה קצינת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פנייתו של הנאשם ליחידה להתמכרויות כמו גם בקשתו להשתלב בטיפול במסגרת שירות המבחן מונעת ממוטיבציה חיצונית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ומרצונו של הנאשם לקדם את ההליך המשפטי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מתוך רצון כנה לבחון את מצבו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איני 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מקום לסטייה לקולא ממתחם הענישה האמור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 סבורני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בנסיבות העניין אף לא מתקיימים התנאים לסטייה לחומרא ממתחם העונש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קובע אני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עונשו של הנאשם יקבע במתחם האמור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494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בגזירת העונש המתאים לנאשם יש להתחשב בנסיבות שאינן 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ובענייננו יש להביא בחשבון כשיקול לקולא את הודאתו של הנאשם במיוחס לו בכתב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ובתקופה בה שהה בפיקוח אלקטרוני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לחובתו של הנאשם הרשעה אחת משנת </w:t>
      </w:r>
      <w:r>
        <w:rPr>
          <w:rFonts w:cs="David" w:ascii="David" w:hAnsi="David"/>
        </w:rPr>
        <w:t>2010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בגין עבירה של גניבת 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בעטיה נגזרו עליו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במאסרו הראשון של הנאשם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המשנה לנשיאה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בדימוס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השופט 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ב</w:t>
      </w:r>
      <w:r>
        <w:rPr>
          <w:rFonts w:cs="David" w:ascii="David" w:hAnsi="David"/>
          <w:rtl w:val="true"/>
        </w:rPr>
        <w:t>-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7781/12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25.06.2013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/>
      </w:pPr>
      <w:r>
        <w:rPr>
          <w:rFonts w:cs="FrankRuehl" w:ascii="Arial TUR;Arial" w:hAnsi="Arial TUR;Arial"/>
          <w:spacing w:val="10"/>
          <w:szCs w:val="28"/>
          <w:rtl w:val="true"/>
        </w:rPr>
        <w:t>"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יתר על כך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מחקרים רבים הראו כי קיים קשר סיבתי שלילי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על פיו מאסר ראשון לא רק שאינו מביא להתרעת היחיד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אלא מביא בסבירות גבוהה למאסרים נוספים ורצידיביזם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ascii="David" w:hAnsi="David"/>
          <w:b/>
          <w:b/>
          <w:bCs/>
          <w:spacing w:val="10"/>
          <w:rtl w:val="true"/>
        </w:rPr>
        <w:t>ראו</w:t>
      </w:r>
      <w:r>
        <w:rPr>
          <w:rFonts w:cs="David" w:ascii="David" w:hAnsi="David"/>
          <w:b/>
          <w:bCs/>
          <w:spacing w:val="10"/>
          <w:rtl w:val="true"/>
        </w:rPr>
        <w:t xml:space="preserve">: </w:t>
      </w:r>
      <w:r>
        <w:rPr>
          <w:rFonts w:ascii="David" w:hAnsi="David"/>
          <w:b/>
          <w:b/>
          <w:bCs/>
          <w:spacing w:val="10"/>
          <w:rtl w:val="true"/>
        </w:rPr>
        <w:t xml:space="preserve">חגית לרנאו וישי שרון 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שמונה הכרעות ערכיות בחקיקת חוק הבניית שיקול הדעת השיפוטי בענישה</w:t>
      </w:r>
      <w:r>
        <w:rPr>
          <w:rFonts w:cs="David" w:ascii="David" w:hAnsi="David"/>
          <w:b/>
          <w:bCs/>
          <w:spacing w:val="10"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הסניגור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</w:rPr>
        <w:t>183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</w:rPr>
        <w:t>14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cs="David" w:ascii="David" w:hAnsi="David"/>
          <w:b/>
          <w:bCs/>
          <w:spacing w:val="10"/>
        </w:rPr>
        <w:t>19</w:t>
      </w:r>
      <w:r>
        <w:rPr>
          <w:rFonts w:cs="David" w:ascii="David" w:hAnsi="David"/>
          <w:b/>
          <w:bCs/>
          <w:spacing w:val="10"/>
          <w:rtl w:val="true"/>
        </w:rPr>
        <w:t xml:space="preserve">; </w:t>
      </w:r>
      <w:r>
        <w:rPr>
          <w:rFonts w:cs="David" w:ascii="David" w:hAnsi="David"/>
          <w:b/>
          <w:bCs/>
          <w:spacing w:val="10"/>
        </w:rPr>
        <w:t xml:space="preserve">Francis T. Cullen at el, </w:t>
      </w:r>
      <w:r>
        <w:rPr>
          <w:rFonts w:cs="David" w:ascii="David" w:hAnsi="David"/>
          <w:b/>
          <w:bCs/>
          <w:i/>
          <w:iCs/>
          <w:spacing w:val="10"/>
        </w:rPr>
        <w:t>Prisons do not Reduce Recidivism: The High Cost of Ignoring Science</w:t>
      </w:r>
      <w:r>
        <w:rPr>
          <w:rFonts w:cs="David" w:ascii="David" w:hAnsi="David"/>
          <w:b/>
          <w:bCs/>
          <w:spacing w:val="10"/>
        </w:rPr>
        <w:t xml:space="preserve">, 91 The </w:t>
      </w:r>
      <w:r>
        <w:rPr>
          <w:rFonts w:cs="David" w:ascii="David" w:hAnsi="David"/>
          <w:b/>
          <w:bCs/>
          <w:smallCaps/>
          <w:spacing w:val="10"/>
        </w:rPr>
        <w:t>Prison Journal</w:t>
      </w:r>
      <w:r>
        <w:rPr>
          <w:rFonts w:cs="David" w:ascii="David" w:hAnsi="David"/>
          <w:b/>
          <w:bCs/>
          <w:spacing w:val="10"/>
        </w:rPr>
        <w:t xml:space="preserve"> 48 (2011)</w:t>
      </w:r>
      <w:r>
        <w:rPr>
          <w:rFonts w:cs="David" w:ascii="David" w:hAnsi="David"/>
          <w:b/>
          <w:bCs/>
          <w:spacing w:val="10"/>
          <w:rtl w:val="true"/>
        </w:rPr>
        <w:t xml:space="preserve">)".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ascii="David" w:hAnsi="David"/>
          <w:spacing w:val="10"/>
          <w:rtl w:val="true"/>
        </w:rPr>
        <w:t>ההדגשה אינה במקור</w:t>
      </w:r>
      <w:r>
        <w:rPr>
          <w:rFonts w:cs="David" w:ascii="David" w:hAnsi="David"/>
          <w:spacing w:val="10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אוסיף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לא נעלמו מעיני עדויות האופי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ולפיהן ברבות השנים סייע הנאשם לזולת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ועסק אף בפעילות של גמילות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חסדים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 יש להתחשב כשיקול לחומרא בעקרון ההרתעה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ובצורך ההולך וגובר למגרן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עת דומה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ככל שנוקפים הימים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גואים מעשי האלימות המבוצעים באמצעות כלי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נשק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לכל אורכה ורוחבה של מדינת ישראל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הזדמן לי לכתוב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ואדגיש זאת ביתר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שאת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גדיעת תופעה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בעודה באיבה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עשויה להיות הפסע הראשון במסע הארוך להחזרת ביטחון הציבור ושלומו במרחב הציבורי והפרטי גם יחד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יפים לענייננו 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המשנה לנשיאה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בדימוס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השופט 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רובינשטיין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6371/11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אנס הייבי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zCs w:val="24"/>
          <w:rtl w:val="true"/>
        </w:rPr>
        <w:t>[</w:t>
      </w:r>
      <w:r>
        <w:rPr>
          <w:rFonts w:ascii="Times New Roman" w:hAnsi="Times New Roman" w:cs="David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David"/>
          <w:szCs w:val="24"/>
          <w:rtl w:val="true"/>
        </w:rPr>
        <w:t>בנבו</w:t>
      </w:r>
      <w:r>
        <w:rPr>
          <w:rFonts w:cs="David" w:ascii="Times New Roman" w:hAnsi="Times New Roman"/>
          <w:szCs w:val="24"/>
          <w:rtl w:val="true"/>
        </w:rPr>
        <w:t xml:space="preserve">]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18.12.2011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פסקה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עבירות בנשק חומרתן מכופלת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הן בעצם המעבר על החוק והן ובמוטעם במאטריה הספציפית</w:t>
      </w:r>
      <w:r>
        <w:rPr>
          <w:rFonts w:cs="David" w:ascii="David" w:hAnsi="David"/>
          <w:b/>
          <w:bCs/>
          <w:spacing w:val="10"/>
          <w:rtl w:val="true"/>
        </w:rPr>
        <w:t xml:space="preserve">; </w:t>
      </w:r>
      <w:r>
        <w:rPr>
          <w:rFonts w:ascii="David" w:hAnsi="David"/>
          <w:b/>
          <w:b/>
          <w:bCs/>
          <w:spacing w:val="10"/>
          <w:rtl w:val="true"/>
        </w:rPr>
        <w:t>נשק שאינו כדין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קרי </w:t>
      </w:r>
      <w:r>
        <w:rPr>
          <w:rFonts w:cs="David" w:ascii="David" w:hAnsi="David"/>
          <w:b/>
          <w:bCs/>
          <w:spacing w:val="10"/>
          <w:rtl w:val="true"/>
        </w:rPr>
        <w:t xml:space="preserve">- </w:t>
      </w:r>
      <w:r>
        <w:rPr>
          <w:rFonts w:ascii="David" w:hAnsi="David"/>
          <w:b/>
          <w:b/>
          <w:bCs/>
          <w:spacing w:val="10"/>
          <w:rtl w:val="true"/>
        </w:rPr>
        <w:t>ברישיון כדבעי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מועד לפורענות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rtl w:val="true"/>
        </w:rPr>
        <w:t>זכורה האמירה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אם ראית במחזה תיאטרון אקדח במערכה הראשונה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סופו שיירה במערכה השניה או השלישית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rtl w:val="true"/>
        </w:rPr>
        <w:t>הימצאו של נשק בידיים לא נכונות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עלול להביא בסופו של יום אף לקיפוד חיי אדם ר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ל</w:t>
      </w:r>
      <w:r>
        <w:rPr>
          <w:rFonts w:cs="David" w:ascii="David" w:hAnsi="David"/>
          <w:b/>
          <w:bCs/>
          <w:spacing w:val="10"/>
          <w:rtl w:val="true"/>
        </w:rPr>
        <w:t xml:space="preserve">...." 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המאשימה לחילוט רכב מסוג טויוטה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מספר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רישוי </w:t>
      </w:r>
      <w:r>
        <w:rPr>
          <w:rFonts w:cs="David" w:ascii="David" w:hAnsi="David"/>
          <w:sz w:val="24"/>
          <w:szCs w:val="24"/>
        </w:rPr>
        <w:t>6159452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 בוצעה העבירה מושא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851" w:start="226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סעיף </w:t>
      </w:r>
      <w:hyperlink r:id="rId37">
        <w:r>
          <w:rPr>
            <w:rStyle w:val="Hyperlink"/>
            <w:rFonts w:cs="David" w:ascii="David" w:hAnsi="David"/>
          </w:rPr>
          <w:t>32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851" w:start="2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</w:rPr>
      </w:pP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רשאי שוטר לתפוס חפץ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אם יש לו יסוד סביר להניח כי באותו חפץ נעברה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עומדים לעבור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עבירה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שהוא עשוי לשמש ראיה בהליך משפטי בשל עבירה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שניתן כשכר בעד ביצוע עבירה או כאמצעי לביצועה</w:t>
      </w:r>
      <w:r>
        <w:rPr>
          <w:rStyle w:val="default"/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636" w:start="84" w:end="0"/>
        <w:jc w:val="both"/>
        <w:rPr/>
      </w:pP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סעיף </w:t>
      </w:r>
      <w:hyperlink r:id="rId39">
        <w:r>
          <w:rPr>
            <w:rStyle w:val="Hyperlink"/>
            <w:rFonts w:cs="David" w:ascii="David" w:hAnsi="David"/>
          </w:rPr>
          <w:t>39</w:t>
        </w:r>
      </w:hyperlink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636" w:start="8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על אף האמור בכל דין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רשאי בית המשפט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בנוסף על כל עונש שיטיל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לצוות על חילוט החפץ שנתפס לפי סעיף </w:t>
      </w:r>
      <w:r>
        <w:rPr>
          <w:rStyle w:val="default"/>
          <w:rFonts w:cs="David" w:ascii="David" w:hAnsi="David"/>
          <w:b/>
          <w:bCs/>
        </w:rPr>
        <w:t>32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או שהגיע לידי המשטרה כאמור בסעיף </w:t>
      </w:r>
      <w:r>
        <w:rPr>
          <w:rStyle w:val="default"/>
          <w:rFonts w:cs="David" w:ascii="David" w:hAnsi="David"/>
          <w:b/>
          <w:bCs/>
        </w:rPr>
        <w:t>33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rStyle w:val="default"/>
          <w:rFonts w:cs="David" w:ascii="David" w:hAnsi="David"/>
          <w:b/>
          <w:bCs/>
          <w:rtl w:val="true"/>
        </w:rPr>
        <w:t xml:space="preserve">; </w:t>
      </w:r>
      <w:r>
        <w:rPr>
          <w:rStyle w:val="default"/>
          <w:rFonts w:ascii="David" w:hAnsi="David"/>
          <w:b/>
          <w:b/>
          <w:bCs/>
          <w:rtl w:val="true"/>
        </w:rPr>
        <w:t>דין צו זה כדין עונש שהוטל על הנאשם</w:t>
      </w:r>
      <w:r>
        <w:rPr>
          <w:rStyle w:val="default"/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הואיל וב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התייחס לבקשת המאשימה לחלט את הרכב האמור במסגרת 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אפשרתי לו בהחלטתי מיום </w:t>
      </w:r>
      <w:r>
        <w:rPr>
          <w:rFonts w:cs="David" w:ascii="David" w:hAnsi="David"/>
        </w:rPr>
        <w:t>28.04.2021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להשלים את טיעוניו בנוגע לסוגיה זו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29.04.2021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הוגשה תגובת בא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כוחו של הנאשם לסוגית חילוט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המחוקק הותיר את שיקול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הדעת הבלעדי לבית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שיבחן שיקולים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אינם קשורים בהכרח למהות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מצבו הכלכלי של הנאשם רע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גם נוכח היותו בתנאי מעצר בית מלא בפיקוח אלקטרוני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שיכול היה לצאת ולפרנס את משפחתו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לאשתו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אליבא דסנגור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התאפשר להתפרנס הואיל והיא הייתה המפקחת העיקרית על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סבר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חילוט הרכב חוטא למטרה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ומהווה עונש כפול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והרכב הוא נכס בעל ערך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יכול לסייע לשיקומו הכלכלי של הנאשם ומשפחתו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מתקיימים התנאים המצטברים הנדרשים לחילוט הרכב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ברכב בוצעה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– בעל הרכב הורשע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והרשעתו מתייחסת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בוצעה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לוי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</w:t>
      </w:r>
      <w:r>
        <w:rPr>
          <w:rFonts w:cs="David" w:ascii="David" w:hAnsi="David"/>
          <w:rtl w:val="true"/>
        </w:rPr>
        <w:t xml:space="preserve">- </w:t>
      </w:r>
      <w:hyperlink r:id="rId4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6234/03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מראד זיתאווי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09.03.2005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זיתאווי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:</w:t>
      </w:r>
    </w:p>
    <w:p>
      <w:pPr>
        <w:pStyle w:val="ruller411"/>
        <w:ind w:start="1440" w:end="0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השילוב שבין הסעיפים מלמד כי הפעלתה של סמכות החילוט מותנית בקיומם של תנאים מצטברים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בחפץ שנתפש בוצעה עבירה או עומדים לבצע 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בעל החפץ הורשע בדינו והרשעתו מתייחסת למעשה שנעשה בחפץ או לגביו</w:t>
      </w:r>
      <w:r>
        <w:rPr>
          <w:rFonts w:cs="David" w:ascii="David" w:hAnsi="David"/>
          <w:b/>
          <w:bCs/>
          <w:sz w:val="24"/>
          <w:szCs w:val="24"/>
          <w:rtl w:val="true"/>
        </w:rPr>
        <w:t>. (</w:t>
      </w:r>
      <w:hyperlink r:id="rId41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623/78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סורני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 לג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523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hyperlink r:id="rId42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4148/92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חוסין מועד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פורסם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b/>
          <w:bCs/>
          <w:spacing w:val="0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b/>
          <w:b/>
          <w:bCs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Cs w:val="24"/>
          <w:rtl w:val="true"/>
        </w:rPr>
        <w:t>]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  <w:sz w:val="24"/>
          <w:szCs w:val="24"/>
        </w:rPr>
        <w:t>39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לפקודה אשר נועד לפגוע בזכות קניינו של העבריין קובע כי דינו של החילוט כדין עונש שהוטל על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וככל הוראה עונשית יש להעניק לה פרשנות מצמצמת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הואיל והיא נועדה לפגוע במעורבים במעשה הפלילי עצמו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ולא באלה שאין להם זיקה אליו או שזיקתם רופפת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hyperlink r:id="rId4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1982/93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בנק לאומי לישראל בע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 מח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238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פסיקת בית המשפט העליון קבעה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אף 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ללשון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סמכות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נתונה לבית המשפט היא סמכות שברשות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להביא בחשבון את השלכותיה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אופן השתלבותה בענישה הכוללת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אפנה לעניין זיתאווי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המכונית שימשה בידי המערער כלי בלעדיו היה מתקשה להפיל את המתלוננת ברשתו ולבצע בה את העבירות בהן הורשע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אולם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אותה סמכות חילוט היא סמכות שברשות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ובטרם יעשה בה בית המשפט שימוש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הוא מצווה לתת את דעתו גם על השלכותיה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וכיצד היא משתלבת במערך רכיביו האחרים של העונש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אכן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בנסיבות אחרות ראוי גם ראוי היה להורות על חילוט המכונית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אולם משנגזר למערער עונש מאסר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אותו אני מציע להאריך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סבורני כי בית המשפט המחוזי היה רשאי לקבוע כי בחילוט גלומה הכבדה מעבר לנדרש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ועל כן נכון להימנע ממנה</w:t>
      </w:r>
      <w:r>
        <w:rPr>
          <w:rFonts w:cs="David" w:ascii="David" w:hAnsi="David"/>
          <w:rtl w:val="true"/>
        </w:rPr>
        <w:t>". 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וכן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אלרון ב</w:t>
      </w:r>
      <w:r>
        <w:rPr>
          <w:rFonts w:cs="David" w:ascii="David" w:hAnsi="David"/>
          <w:rtl w:val="true"/>
        </w:rPr>
        <w:t>-</w:t>
      </w:r>
      <w:hyperlink r:id="rId4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9104-20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דוד טבצ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04.03.2021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:</w:t>
      </w:r>
    </w:p>
    <w:p>
      <w:pPr>
        <w:pStyle w:val="Ruller42"/>
        <w:spacing w:before="240" w:after="240"/>
        <w:ind w:start="1440" w:end="0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מנגד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איני סבור כי עלינו להתערב בהחלטת בית המשפט המחוזי שלא להורות על חילוט רכבו של המשיב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u w:val="single"/>
          <w:rtl w:val="true"/>
        </w:rPr>
        <w:t>זאת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בפרט בשים לב כי סמכותו של בית המשפט להורות על חילוט רכוש על פי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סעיפים </w:t>
      </w:r>
      <w:r>
        <w:rPr>
          <w:rFonts w:cs="David" w:ascii="David" w:hAnsi="David"/>
          <w:b/>
          <w:bCs/>
          <w:color w:val="000000"/>
        </w:rPr>
        <w:t>32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>ו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39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>ל</w:t>
      </w:r>
      <w:hyperlink r:id="rId45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[</w:t>
      </w:r>
      <w:r>
        <w:rPr>
          <w:rFonts w:ascii="David" w:hAnsi="David" w:cs="David"/>
          <w:b/>
          <w:b/>
          <w:bCs/>
          <w:u w:val="single"/>
          <w:rtl w:val="true"/>
        </w:rPr>
        <w:t>נוסח חדש</w:t>
      </w:r>
      <w:r>
        <w:rPr>
          <w:rFonts w:cs="David" w:ascii="David" w:hAnsi="David"/>
          <w:b/>
          <w:bCs/>
          <w:u w:val="single"/>
          <w:rtl w:val="true"/>
        </w:rPr>
        <w:t xml:space="preserve">], </w:t>
      </w:r>
      <w:r>
        <w:rPr>
          <w:rFonts w:ascii="David" w:hAnsi="David" w:cs="David"/>
          <w:b/>
          <w:b/>
          <w:bCs/>
          <w:u w:val="single"/>
          <w:rtl w:val="true"/>
        </w:rPr>
        <w:t>התשכ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ט–</w:t>
      </w:r>
      <w:r>
        <w:rPr>
          <w:rFonts w:cs="David" w:ascii="David" w:hAnsi="David"/>
          <w:b/>
          <w:bCs/>
          <w:u w:val="single"/>
        </w:rPr>
        <w:t>1969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u w:val="single"/>
          <w:rtl w:val="true"/>
        </w:rPr>
        <w:t>היא סמכות שבשיקול דעת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u w:val="single"/>
          <w:rtl w:val="true"/>
        </w:rPr>
        <w:t>אשר הפעלתה תלויה בין היתר בהשלכות חילוט הרכוש ובהשתלבותו במערך הענישה הכולל שיושת על הנאשם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46">
        <w:r>
          <w:rPr>
            <w:rStyle w:val="Hyperlink"/>
            <w:rFonts w:ascii="David" w:hAnsi="David" w:cs="David"/>
            <w:b/>
            <w:b/>
            <w:bCs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</w:rPr>
          <w:t>4105/16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גאבר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>פסקה ט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2.1.2007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47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6234/03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זיתאווי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Times New Roman" w:hAnsi="Times New Roman"/>
          <w:b/>
          <w:bCs/>
          <w:spacing w:val="0"/>
          <w:sz w:val="22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2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9.3.2005</w:t>
      </w:r>
      <w:r>
        <w:rPr>
          <w:rFonts w:cs="David" w:ascii="David" w:hAnsi="David"/>
          <w:b/>
          <w:bCs/>
          <w:rtl w:val="true"/>
        </w:rPr>
        <w:t xml:space="preserve">))".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המקרה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נסיבותיו האישיות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המאסר שהוטל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מנת לאפשר לנאשם לפתוח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דף חדש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לאחר שחרורו מן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מקום לחלט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אני 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בשקלול הנסיבות והנתונים השונים אני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העונש הראוי בנסיבות הוא עונש של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המעצר בהם נשא הנאשם עד כה מכוח המעצר עד תום ההליכים אשר 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התאריכים </w:t>
      </w:r>
      <w:r>
        <w:rPr>
          <w:rFonts w:cs="David" w:ascii="David" w:hAnsi="David"/>
        </w:rPr>
        <w:t>17.12.2019-27.01.2020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על כן אני גוזר על הנאשם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למשך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בין התאריכים </w:t>
      </w:r>
      <w:r>
        <w:rPr>
          <w:rFonts w:cs="David" w:ascii="David" w:hAnsi="David"/>
          <w:sz w:val="24"/>
          <w:szCs w:val="24"/>
        </w:rPr>
        <w:t>17.12.2019-27.01.2020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מאסר על תנאי לתקופה של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שיופעל במידה והנאשם יעבור 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עבירת נשק מכל סוג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 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בנסיבות העניין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להטיל על הנאשם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. 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אינני מחלט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ואני מורה להחזיר את הרכב לנאשם תוך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הנאשם יתייצב לריצוי מאסרו בבית מעצר קישון</w:t>
      </w:r>
      <w:r>
        <w:rPr>
          <w:rFonts w:ascii="David" w:hAnsi="David"/>
          <w:b/>
          <w:b/>
          <w:bCs/>
          <w:rtl w:val="true"/>
        </w:rPr>
        <w:t xml:space="preserve">  </w:t>
      </w:r>
      <w:r>
        <w:rPr>
          <w:rFonts w:cs="David" w:ascii="David" w:hAnsi="David"/>
          <w:b/>
          <w:bCs/>
        </w:rPr>
        <w:t>19.05.2021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עד השעה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החלטת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או דרכון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טלפונים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תנאי השחרור או המעצר באיזוק בהם היה נתון הנאשם עד כה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ימשיכו לחול עד להתייצבותו לתחילת ריצוי 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firstLine="204" w:start="516" w:end="426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cs="David" w:ascii="David" w:hAnsi="David"/>
          <w:b/>
          <w:bCs/>
          <w:color w:val="FFFFFF"/>
          <w:sz w:val="2"/>
          <w:szCs w:val="2"/>
          <w:u w:val="single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firstLine="204" w:start="516" w:end="426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>המזכירות תשלח עותק מגזר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הדין לשב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 וכן לפיקוח על האיזוק האלקטרוני</w:t>
      </w:r>
    </w:p>
    <w:p>
      <w:pPr>
        <w:pStyle w:val="Normal"/>
        <w:shd w:fill="FFFFFF" w:val="clear"/>
        <w:spacing w:lineRule="auto" w:line="360"/>
        <w:ind w:firstLine="204" w:start="516" w:end="426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</w:rPr>
      </w:pPr>
      <w:bookmarkStart w:id="8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אייר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2021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8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סארי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61299-12-19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עזריה זרבאילוב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</w:lvl>
  </w:abstractNum>
  <w:abstractNum w:abstractNumId="2">
    <w:lvl w:ilvl="0">
      <w:start w:val="8"/>
      <w:numFmt w:val="decimal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3">
    <w:lvl w:ilvl="0">
      <w:start w:val="14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5">
    <w:name w:val="Ruller5 תו"/>
    <w:qFormat/>
    <w:rPr>
      <w:rFonts w:ascii="Arial TUR;Arial" w:hAnsi="Arial TUR;Arial" w:cs="FrankRuehl"/>
      <w:spacing w:val="10"/>
      <w:szCs w:val="28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2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4918" TargetMode="External"/><Relationship Id="rId5" Type="http://schemas.openxmlformats.org/officeDocument/2006/relationships/hyperlink" Target="http://www.nevo.co.il/law/74918/32.a" TargetMode="External"/><Relationship Id="rId6" Type="http://schemas.openxmlformats.org/officeDocument/2006/relationships/hyperlink" Target="http://www.nevo.co.il/law/74918/39" TargetMode="External"/><Relationship Id="rId7" Type="http://schemas.openxmlformats.org/officeDocument/2006/relationships/hyperlink" Target="http://www.nevo.co.il/law/74918/39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1794004" TargetMode="External"/><Relationship Id="rId11" Type="http://schemas.openxmlformats.org/officeDocument/2006/relationships/hyperlink" Target="http://www.nevo.co.il/case/4185199" TargetMode="External"/><Relationship Id="rId12" Type="http://schemas.openxmlformats.org/officeDocument/2006/relationships/hyperlink" Target="http://www.nevo.co.il/case/13015506" TargetMode="External"/><Relationship Id="rId13" Type="http://schemas.openxmlformats.org/officeDocument/2006/relationships/hyperlink" Target="http://www.nevo.co.il/case/26202327" TargetMode="External"/><Relationship Id="rId14" Type="http://schemas.openxmlformats.org/officeDocument/2006/relationships/hyperlink" Target="http://www.nevo.co.il/case/26654636" TargetMode="External"/><Relationship Id="rId15" Type="http://schemas.openxmlformats.org/officeDocument/2006/relationships/hyperlink" Target="http://www.nevo.co.il/case/22794594" TargetMode="External"/><Relationship Id="rId16" Type="http://schemas.openxmlformats.org/officeDocument/2006/relationships/hyperlink" Target="http://www.nevo.co.il/case/26248279" TargetMode="External"/><Relationship Id="rId17" Type="http://schemas.openxmlformats.org/officeDocument/2006/relationships/hyperlink" Target="http://www.nevo.co.il/case/21474168" TargetMode="External"/><Relationship Id="rId18" Type="http://schemas.openxmlformats.org/officeDocument/2006/relationships/hyperlink" Target="http://www.nevo.co.il/case/24319926" TargetMode="External"/><Relationship Id="rId19" Type="http://schemas.openxmlformats.org/officeDocument/2006/relationships/hyperlink" Target="http://www.nevo.co.il/case/6151556" TargetMode="External"/><Relationship Id="rId20" Type="http://schemas.openxmlformats.org/officeDocument/2006/relationships/hyperlink" Target="http://www.nevo.co.il/case/22006503" TargetMode="External"/><Relationship Id="rId21" Type="http://schemas.openxmlformats.org/officeDocument/2006/relationships/hyperlink" Target="http://www.nevo.co.il/law/74918/39.a" TargetMode="External"/><Relationship Id="rId22" Type="http://schemas.openxmlformats.org/officeDocument/2006/relationships/hyperlink" Target="http://www.nevo.co.il/case/25824863" TargetMode="External"/><Relationship Id="rId23" Type="http://schemas.openxmlformats.org/officeDocument/2006/relationships/hyperlink" Target="http://www.nevo.co.il/case/5995135" TargetMode="External"/><Relationship Id="rId24" Type="http://schemas.openxmlformats.org/officeDocument/2006/relationships/hyperlink" Target="http://www.nevo.co.il/case/5950172" TargetMode="External"/><Relationship Id="rId25" Type="http://schemas.openxmlformats.org/officeDocument/2006/relationships/hyperlink" Target="http://www.nevo.co.il/case/5568354" TargetMode="External"/><Relationship Id="rId26" Type="http://schemas.openxmlformats.org/officeDocument/2006/relationships/hyperlink" Target="http://www.nevo.co.il/case/27171364" TargetMode="External"/><Relationship Id="rId27" Type="http://schemas.openxmlformats.org/officeDocument/2006/relationships/hyperlink" Target="http://www.nevo.co.il/case/26538254" TargetMode="External"/><Relationship Id="rId28" Type="http://schemas.openxmlformats.org/officeDocument/2006/relationships/hyperlink" Target="http://www.nevo.co.il/case/7791493" TargetMode="External"/><Relationship Id="rId29" Type="http://schemas.openxmlformats.org/officeDocument/2006/relationships/hyperlink" Target="http://www.nevo.co.il/case/5821327" TargetMode="External"/><Relationship Id="rId30" Type="http://schemas.openxmlformats.org/officeDocument/2006/relationships/hyperlink" Target="http://www.nevo.co.il/case/23750625" TargetMode="External"/><Relationship Id="rId31" Type="http://schemas.openxmlformats.org/officeDocument/2006/relationships/hyperlink" Target="http://www.nevo.co.il/case/27292055" TargetMode="External"/><Relationship Id="rId32" Type="http://schemas.openxmlformats.org/officeDocument/2006/relationships/hyperlink" Target="http://www.nevo.co.il/case/27309272" TargetMode="External"/><Relationship Id="rId33" Type="http://schemas.openxmlformats.org/officeDocument/2006/relationships/hyperlink" Target="http://www.nevo.co.il/case/17941073" TargetMode="External"/><Relationship Id="rId34" Type="http://schemas.openxmlformats.org/officeDocument/2006/relationships/hyperlink" Target="http://www.nevo.co.il/case/17938943" TargetMode="External"/><Relationship Id="rId35" Type="http://schemas.openxmlformats.org/officeDocument/2006/relationships/hyperlink" Target="http://www.nevo.co.il/case/6248029" TargetMode="External"/><Relationship Id="rId36" Type="http://schemas.openxmlformats.org/officeDocument/2006/relationships/hyperlink" Target="http://www.nevo.co.il/case/5594385" TargetMode="External"/><Relationship Id="rId37" Type="http://schemas.openxmlformats.org/officeDocument/2006/relationships/hyperlink" Target="http://www.nevo.co.il/law/74918/32.a" TargetMode="External"/><Relationship Id="rId38" Type="http://schemas.openxmlformats.org/officeDocument/2006/relationships/hyperlink" Target="http://www.nevo.co.il/law/74918" TargetMode="External"/><Relationship Id="rId39" Type="http://schemas.openxmlformats.org/officeDocument/2006/relationships/hyperlink" Target="http://www.nevo.co.il/law/74918/39" TargetMode="External"/><Relationship Id="rId40" Type="http://schemas.openxmlformats.org/officeDocument/2006/relationships/hyperlink" Target="http://www.nevo.co.il/case/6055128" TargetMode="External"/><Relationship Id="rId41" Type="http://schemas.openxmlformats.org/officeDocument/2006/relationships/hyperlink" Target="http://www.nevo.co.il/case/17929014" TargetMode="External"/><Relationship Id="rId42" Type="http://schemas.openxmlformats.org/officeDocument/2006/relationships/hyperlink" Target="http://www.nevo.co.il/case/17922225" TargetMode="External"/><Relationship Id="rId43" Type="http://schemas.openxmlformats.org/officeDocument/2006/relationships/hyperlink" Target="http://www.nevo.co.il/case/17914099" TargetMode="External"/><Relationship Id="rId44" Type="http://schemas.openxmlformats.org/officeDocument/2006/relationships/hyperlink" Target="http://www.nevo.co.il/case/27272576" TargetMode="External"/><Relationship Id="rId45" Type="http://schemas.openxmlformats.org/officeDocument/2006/relationships/hyperlink" Target="http://www.nevo.co.il/law/74918" TargetMode="External"/><Relationship Id="rId46" Type="http://schemas.openxmlformats.org/officeDocument/2006/relationships/hyperlink" Target="http://www.nevo.co.il/case/5937268" TargetMode="External"/><Relationship Id="rId47" Type="http://schemas.openxmlformats.org/officeDocument/2006/relationships/hyperlink" Target="http://www.nevo.co.il/case/6055128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2021-05-20T10:28:00Z</dcterms:created>
  <dc:creator> </dc:creator>
  <dc:description/>
  <cp:keywords/>
  <dc:language>en-IL</dc:language>
  <cp:lastModifiedBy>orly</cp:lastModifiedBy>
  <dcterms:modified xsi:type="dcterms:W3CDTF">2021-05-20T10:28:00Z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עזריה זרבאילוב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21794004;4185199;13015506;26202327;26654636;22794594;26248279;21474168;24319926;6151556;22006503;25824863;5995135;5950172;5568354;27171364;26538254;7791493;5821327;23750625;27292055;27309272;17941073;17938943;6248029;5594385;6055128:2;17929014;17922225</vt:lpwstr>
  </property>
  <property fmtid="{D5CDD505-2E9C-101B-9397-08002B2CF9AE}" pid="9" name="CASESLISTTMP2">
    <vt:lpwstr>17914099;27272576;5937268</vt:lpwstr>
  </property>
  <property fmtid="{D5CDD505-2E9C-101B-9397-08002B2CF9AE}" pid="10" name="CITY">
    <vt:lpwstr>חי'</vt:lpwstr>
  </property>
  <property fmtid="{D5CDD505-2E9C-101B-9397-08002B2CF9AE}" pid="11" name="DATE">
    <vt:lpwstr>20210505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סארי ג'יוסי</vt:lpwstr>
  </property>
  <property fmtid="{D5CDD505-2E9C-101B-9397-08002B2CF9AE}" pid="15" name="LAWLISTTMP1">
    <vt:lpwstr>70301/144.b</vt:lpwstr>
  </property>
  <property fmtid="{D5CDD505-2E9C-101B-9397-08002B2CF9AE}" pid="16" name="LAWLISTTMP2">
    <vt:lpwstr>74918/039.a;032.a;039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מיכל</vt:lpwstr>
  </property>
  <property fmtid="{D5CDD505-2E9C-101B-9397-08002B2CF9AE}" pid="24" name="NEWPARTA">
    <vt:lpwstr>61299</vt:lpwstr>
  </property>
  <property fmtid="{D5CDD505-2E9C-101B-9397-08002B2CF9AE}" pid="25" name="NEWPARTB">
    <vt:lpwstr>12</vt:lpwstr>
  </property>
  <property fmtid="{D5CDD505-2E9C-101B-9397-08002B2CF9AE}" pid="26" name="NEWPARTC">
    <vt:lpwstr>19</vt:lpwstr>
  </property>
  <property fmtid="{D5CDD505-2E9C-101B-9397-08002B2CF9AE}" pid="27" name="NEWPROC">
    <vt:lpwstr>תפ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מדיניות ענישה: עבירות נשק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13800</vt:lpwstr>
  </property>
  <property fmtid="{D5CDD505-2E9C-101B-9397-08002B2CF9AE}" pid="61" name="PADIDATE">
    <vt:lpwstr>20210520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390120210505</vt:lpwstr>
  </property>
  <property fmtid="{D5CDD505-2E9C-101B-9397-08002B2CF9AE}" pid="71" name="TYPE_N_DATE">
    <vt:lpwstr>39020210505</vt:lpwstr>
  </property>
  <property fmtid="{D5CDD505-2E9C-101B-9397-08002B2CF9AE}" pid="72" name="VOLUME">
    <vt:lpwstr/>
  </property>
  <property fmtid="{D5CDD505-2E9C-101B-9397-08002B2CF9AE}" pid="73" name="WORDNUMPAGES">
    <vt:lpwstr>20</vt:lpwstr>
  </property>
</Properties>
</file>