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12"/>
        <w:gridCol w:w="600"/>
        <w:gridCol w:w="190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21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6138-03-11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חאמד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0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90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שאהר אטרש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אלד בן מאמון חאמד 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מורן רייצ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ס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חאלד אבו אחמד ועו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מוסטפא אבו אחמד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 xml:space="preserve">הנאשם הובא באמצעות הליווי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15-03-2011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6138-03-11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 xml:space="preserve">אלד חאמד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הובא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 הליווי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שירי שחף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אבו אחמד וחאלד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30-03-2011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6138-03-11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חאמד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אריאל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6138-03-11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יעל שוחט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6138-03-11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חאמד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שאהר אטרש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גדי צפריר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אבו אחמד חאלד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12-05-2011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6138-03-11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בן מאמון 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שאהר אטרש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גדי צפריר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אבו אחמד וחאלד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23-05-2011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6138-03-11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בן מאמון חאמד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שאהר אטרש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גדי צפריר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אבו אחמד חאלד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31-05-2011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6138-03-11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בן מאמון חאמד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שאהר אטרש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הובא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 הליווי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שירי שחף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אבו אחמד וחאלד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17-07-2011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6138-03-11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בן מאמון חאמד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שאהר אטרש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אור לרנר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חאלד אבו אחמד מוסטפא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25-08-2011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5868/11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חאלד חאמד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 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ריבלין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מוסטפא אבו אחמד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אפרת גולדשטיין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)+(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255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 xml:space="preserve">הנאשם הודה בכתב האישום שהוגש נגדו ביום </w:t>
      </w:r>
      <w:r>
        <w:rPr/>
        <w:t>3.3.11</w:t>
      </w:r>
      <w:r>
        <w:rPr>
          <w:rtl w:val="true"/>
        </w:rPr>
        <w:t xml:space="preserve"> </w:t>
      </w:r>
      <w:r>
        <w:rPr>
          <w:rtl w:val="true"/>
        </w:rPr>
        <w:t>והורשע בעבירות שלהלן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</w:hyperlink>
      <w:hyperlink r:id="rId17"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Style w:val="Hyperlink"/>
          <w:color w:val="0000FF"/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1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>").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התמונה העולה מעובדות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27.2.11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12:15</w:t>
      </w:r>
      <w:r>
        <w:rPr>
          <w:rtl w:val="true"/>
        </w:rPr>
        <w:t xml:space="preserve"> </w:t>
      </w:r>
      <w:r>
        <w:rPr>
          <w:rtl w:val="true"/>
        </w:rPr>
        <w:t>התהלך הנאשם בשכונה המזרחית בנצרת</w:t>
      </w:r>
      <w:r>
        <w:rPr>
          <w:rtl w:val="true"/>
        </w:rPr>
        <w:t xml:space="preserve">, </w:t>
      </w:r>
      <w:r>
        <w:rPr>
          <w:rtl w:val="true"/>
        </w:rPr>
        <w:t xml:space="preserve">כשהוא נושא על גופו אקדח ברטה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 xml:space="preserve">כשבאקדח מחסנית ובה ארבעה 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התחמושת</w:t>
      </w:r>
      <w:r>
        <w:rPr>
          <w:rtl w:val="true"/>
        </w:rPr>
        <w:t xml:space="preserve">"); </w:t>
      </w:r>
      <w:r>
        <w:rPr>
          <w:rtl w:val="true"/>
        </w:rPr>
        <w:t>כשהתקרבה ניידת משטרה לנאשם</w:t>
      </w:r>
      <w:r>
        <w:rPr>
          <w:rtl w:val="true"/>
        </w:rPr>
        <w:t xml:space="preserve">, </w:t>
      </w:r>
      <w:r>
        <w:rPr>
          <w:rtl w:val="true"/>
        </w:rPr>
        <w:t>פתח הנאשם בריצה במטרה לחמוק משוטרים</w:t>
      </w:r>
      <w:r>
        <w:rPr>
          <w:rtl w:val="true"/>
        </w:rPr>
        <w:t xml:space="preserve">, </w:t>
      </w:r>
      <w:r>
        <w:rPr>
          <w:rtl w:val="true"/>
        </w:rPr>
        <w:t xml:space="preserve">אשר רדפו אחריו תוך קריאות </w:t>
      </w:r>
      <w:r>
        <w:rPr>
          <w:rtl w:val="true"/>
        </w:rPr>
        <w:t>"</w:t>
      </w:r>
      <w:r>
        <w:rPr>
          <w:rtl w:val="true"/>
        </w:rPr>
        <w:t>עצור משטרה</w:t>
      </w:r>
      <w:r>
        <w:rPr>
          <w:rtl w:val="true"/>
        </w:rPr>
        <w:t xml:space="preserve">"; </w:t>
      </w:r>
      <w:r>
        <w:rPr>
          <w:rtl w:val="true"/>
        </w:rPr>
        <w:t>במהלך ניסיון הבריחה</w:t>
      </w:r>
      <w:r>
        <w:rPr>
          <w:rtl w:val="true"/>
        </w:rPr>
        <w:t xml:space="preserve">, </w:t>
      </w:r>
      <w:r>
        <w:rPr>
          <w:rtl w:val="true"/>
        </w:rPr>
        <w:t>הוציא הנאשם את האקדח שהחזיק על גופו והשליכו למרחק של כמה מטרים ממנו</w:t>
      </w:r>
      <w:r>
        <w:rPr>
          <w:rtl w:val="true"/>
        </w:rPr>
        <w:t xml:space="preserve">; </w:t>
      </w:r>
      <w:r>
        <w:rPr>
          <w:rtl w:val="true"/>
        </w:rPr>
        <w:t>לאחר שהצליחו השוטרים לעצור את בריחתו</w:t>
      </w:r>
      <w:r>
        <w:rPr>
          <w:rtl w:val="true"/>
        </w:rPr>
        <w:t xml:space="preserve">, </w:t>
      </w:r>
      <w:r>
        <w:rPr>
          <w:rtl w:val="true"/>
        </w:rPr>
        <w:t>התנגד הנאשם למעצרו ולכבילתו ע</w:t>
      </w:r>
      <w:r>
        <w:rPr>
          <w:rtl w:val="true"/>
        </w:rPr>
        <w:t>"</w:t>
      </w:r>
      <w:r>
        <w:rPr>
          <w:rtl w:val="true"/>
        </w:rPr>
        <w:t>י השוטרים וסרב להיכנס לניידת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התגודדו אנשים מסביב לניידת</w:t>
      </w:r>
      <w:r>
        <w:rPr>
          <w:rtl w:val="true"/>
        </w:rPr>
        <w:t xml:space="preserve">, </w:t>
      </w:r>
      <w:r>
        <w:rPr>
          <w:rtl w:val="true"/>
        </w:rPr>
        <w:t>שניסו לסייע לנאשם ולמנוע מהשוטרים להכניסו לניידת</w:t>
      </w:r>
      <w:r>
        <w:rPr>
          <w:rtl w:val="true"/>
        </w:rPr>
        <w:t xml:space="preserve">; </w:t>
      </w:r>
      <w:r>
        <w:rPr>
          <w:rtl w:val="true"/>
        </w:rPr>
        <w:t>גם לאחר שהוכנס לניידת</w:t>
      </w:r>
      <w:r>
        <w:rPr>
          <w:rtl w:val="true"/>
        </w:rPr>
        <w:t xml:space="preserve">, </w:t>
      </w:r>
      <w:r>
        <w:rPr>
          <w:rtl w:val="true"/>
        </w:rPr>
        <w:t>המשיך הנאשם וניסה לברוח דרך החלון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 האמורים לעיל</w:t>
      </w:r>
      <w:r>
        <w:rPr>
          <w:rtl w:val="true"/>
        </w:rPr>
        <w:t xml:space="preserve">, </w:t>
      </w:r>
      <w:r>
        <w:rPr>
          <w:rtl w:val="true"/>
        </w:rPr>
        <w:t>נשא והחזיק הנאשם נשק</w:t>
      </w:r>
      <w:r>
        <w:rPr>
          <w:rtl w:val="true"/>
        </w:rPr>
        <w:t xml:space="preserve">, </w:t>
      </w:r>
      <w:r>
        <w:rPr>
          <w:rtl w:val="true"/>
        </w:rPr>
        <w:t>מחסנית וכדורים בלא רשות על</w:t>
      </w:r>
      <w:r>
        <w:rPr>
          <w:rtl w:val="true"/>
        </w:rPr>
        <w:t>-</w:t>
      </w:r>
      <w:r>
        <w:rPr>
          <w:rtl w:val="true"/>
        </w:rPr>
        <w:t>פי דין לנשיאתם או החזקתם</w:t>
      </w:r>
      <w:r>
        <w:rPr>
          <w:rtl w:val="true"/>
        </w:rPr>
        <w:t xml:space="preserve">, </w:t>
      </w:r>
      <w:r>
        <w:rPr>
          <w:rtl w:val="true"/>
        </w:rPr>
        <w:t>השליך את האקדח במטרה למנוע ולהכשיל הליך שיפוטי וכן עשה מעשה בכוונה להפריע ולהכשיל שוטר כשהוא ממלא תפקידו כחוק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נוכח גילו הצעיר של הנאשם </w:t>
      </w:r>
      <w:r>
        <w:rPr>
          <w:rtl w:val="true"/>
        </w:rPr>
        <w:t>(</w:t>
      </w:r>
      <w:r>
        <w:rPr>
          <w:rtl w:val="true"/>
        </w:rPr>
        <w:t xml:space="preserve">יליד </w:t>
      </w:r>
      <w:r>
        <w:rPr/>
        <w:t>1992</w:t>
      </w:r>
      <w:r>
        <w:rPr>
          <w:rtl w:val="true"/>
        </w:rPr>
        <w:t xml:space="preserve">), </w:t>
      </w:r>
      <w:r>
        <w:rPr>
          <w:rtl w:val="true"/>
        </w:rPr>
        <w:t>הוגש תסקיר חובה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 המבחן לא בא בהמלצה כלשהי בעניינו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מדובר בנאשם בן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השכלתו תיכונית</w:t>
      </w:r>
      <w:r>
        <w:rPr>
          <w:rtl w:val="true"/>
        </w:rPr>
        <w:t xml:space="preserve">, </w:t>
      </w:r>
      <w:r>
        <w:rPr>
          <w:rtl w:val="true"/>
        </w:rPr>
        <w:t>עד למעצרו התגורר בבית הוריו ועבד עם אביו באטליז שבבעלותו</w:t>
      </w:r>
      <w:r>
        <w:rPr>
          <w:rtl w:val="true"/>
        </w:rPr>
        <w:t xml:space="preserve">. </w:t>
      </w:r>
      <w:r>
        <w:rPr>
          <w:rtl w:val="true"/>
        </w:rPr>
        <w:t>בשיחתו עם קצינת המבחן בלט אצלו שימוש בהגנות</w:t>
      </w:r>
      <w:r>
        <w:rPr>
          <w:rtl w:val="true"/>
        </w:rPr>
        <w:t xml:space="preserve">; </w:t>
      </w:r>
      <w:r>
        <w:rPr>
          <w:rtl w:val="true"/>
        </w:rPr>
        <w:t>הנאשם נטה לתאר פסאדה של תפקוד חיובי ותקין במישורי חייו השונים</w:t>
      </w:r>
      <w:r>
        <w:rPr>
          <w:rtl w:val="true"/>
        </w:rPr>
        <w:t xml:space="preserve">; </w:t>
      </w:r>
      <w:r>
        <w:rPr>
          <w:rtl w:val="true"/>
        </w:rPr>
        <w:t>הוא שוקל להמשיך לימודים אקדמאיים</w:t>
      </w:r>
      <w:r>
        <w:rPr>
          <w:rtl w:val="true"/>
        </w:rPr>
        <w:t xml:space="preserve">. </w:t>
      </w:r>
      <w:r>
        <w:rPr>
          <w:rtl w:val="true"/>
        </w:rPr>
        <w:t>בהתייחסו לעבירה</w:t>
      </w:r>
      <w:r>
        <w:rPr>
          <w:rtl w:val="true"/>
        </w:rPr>
        <w:t xml:space="preserve">, </w:t>
      </w:r>
      <w:r>
        <w:rPr>
          <w:rtl w:val="true"/>
        </w:rPr>
        <w:t>הנאשם קיבל אחריות פורמאלית לביצועה ושלל אחריות אישית בהסתבכותו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להערכת קצינת המבחן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קבלת אחריות אקטיבית</w:t>
      </w:r>
      <w:r>
        <w:rPr>
          <w:rtl w:val="true"/>
        </w:rPr>
        <w:t xml:space="preserve">, </w:t>
      </w:r>
      <w:r>
        <w:rPr>
          <w:rtl w:val="true"/>
        </w:rPr>
        <w:t>קשייו לשתף באופן פתוח אודות נסיבות התנהגותו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הבעת חרטה לעצם הסתבכותו ואופיה בתיק דנן</w:t>
      </w:r>
      <w:r>
        <w:rPr>
          <w:rtl w:val="true"/>
        </w:rPr>
        <w:t xml:space="preserve">, </w:t>
      </w:r>
      <w:r>
        <w:rPr>
          <w:rtl w:val="true"/>
        </w:rPr>
        <w:t>מגבירים את הסיכון להסתבכות נוספת עם החוק</w:t>
      </w:r>
      <w:r>
        <w:rPr>
          <w:rtl w:val="true"/>
        </w:rPr>
        <w:t xml:space="preserve">. </w:t>
      </w:r>
      <w:r>
        <w:rPr>
          <w:rtl w:val="true"/>
        </w:rPr>
        <w:t>בשיחתה עם הנאשם</w:t>
      </w:r>
      <w:r>
        <w:rPr>
          <w:rtl w:val="true"/>
        </w:rPr>
        <w:t xml:space="preserve">, </w:t>
      </w:r>
      <w:r>
        <w:rPr>
          <w:rtl w:val="true"/>
        </w:rPr>
        <w:t>התרשמה קצינת המבחן מחוסר אמפטיה להשלכות התנהגותו על החברה</w:t>
      </w:r>
      <w:r>
        <w:rPr>
          <w:rtl w:val="true"/>
        </w:rPr>
        <w:t xml:space="preserve">, </w:t>
      </w:r>
      <w:r>
        <w:rPr>
          <w:rtl w:val="true"/>
        </w:rPr>
        <w:t>אי קבלת אחריות וקושי להתבונן בהתנהגותו באופן ביקורתי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בטיעוניו בכתב מבקש לגזור על הנאשם מאסר בפועל לתקופה ארוכה</w:t>
      </w:r>
      <w:r>
        <w:rPr>
          <w:rtl w:val="true"/>
        </w:rPr>
        <w:t xml:space="preserve">, </w:t>
      </w:r>
      <w:r>
        <w:rPr>
          <w:rtl w:val="true"/>
        </w:rPr>
        <w:t>מאסר על תנאי ארוך ומרתיע וקנס</w:t>
      </w:r>
      <w:r>
        <w:rPr>
          <w:rtl w:val="true"/>
        </w:rPr>
        <w:t xml:space="preserve">, </w:t>
      </w:r>
      <w:r>
        <w:rPr>
          <w:rtl w:val="true"/>
        </w:rPr>
        <w:t>בהדגישו את השיקולים לחומרה 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בהתאם לחוות דעת מז</w:t>
      </w:r>
      <w:r>
        <w:rPr>
          <w:rtl w:val="true"/>
        </w:rPr>
        <w:t>"</w:t>
      </w:r>
      <w:r>
        <w:rPr>
          <w:rtl w:val="true"/>
        </w:rPr>
        <w:t>פ שהומצאה לבקשת הנאשם מסתבר</w:t>
      </w:r>
      <w:r>
        <w:rPr>
          <w:rtl w:val="true"/>
        </w:rPr>
        <w:t xml:space="preserve">, </w:t>
      </w:r>
      <w:r>
        <w:rPr>
          <w:rtl w:val="true"/>
        </w:rPr>
        <w:t>כי בקצה קנה האקדח קיימת הברגה חיצונית היכולה לשמש להרכבת משתיק קול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קובע 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לנושא נשק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למחזיק נשק 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למחזיק ונושא 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 נשא והחזיק באקדח טעון</w:t>
      </w:r>
      <w:r>
        <w:rPr>
          <w:rtl w:val="true"/>
        </w:rPr>
        <w:t xml:space="preserve">, </w:t>
      </w:r>
      <w:r>
        <w:rPr>
          <w:rtl w:val="true"/>
        </w:rPr>
        <w:t>עליו ניתן להרכיב משתיק קול</w:t>
      </w:r>
      <w:r>
        <w:rPr>
          <w:rtl w:val="true"/>
        </w:rPr>
        <w:t xml:space="preserve">, </w:t>
      </w:r>
      <w:r>
        <w:rPr>
          <w:rtl w:val="true"/>
        </w:rPr>
        <w:t>באמצע רחוב הומה 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עבירות הנשק חמורות הן</w:t>
      </w:r>
      <w:r>
        <w:rPr>
          <w:rtl w:val="true"/>
        </w:rPr>
        <w:t xml:space="preserve">, </w:t>
      </w:r>
      <w:r>
        <w:rPr>
          <w:rtl w:val="true"/>
        </w:rPr>
        <w:t>בשל פגיעתו הפוטנציאלית הרבה של כלי הנשק והסכנה הטמונה בו</w:t>
      </w:r>
      <w:r>
        <w:rPr>
          <w:rtl w:val="true"/>
        </w:rPr>
        <w:t xml:space="preserve">; </w:t>
      </w:r>
      <w:r>
        <w:rPr>
          <w:rtl w:val="true"/>
        </w:rPr>
        <w:t>בית המשפט העליון הביע לא אחת את יחסו המחמיר לעבירות 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תסקיר שירות המבחן מלמד</w:t>
      </w:r>
      <w:r>
        <w:rPr>
          <w:rtl w:val="true"/>
        </w:rPr>
        <w:t xml:space="preserve">, </w:t>
      </w:r>
      <w:r>
        <w:rPr>
          <w:rtl w:val="true"/>
        </w:rPr>
        <w:t>כי הנאשם אינו לוקח אחריות מלאה למעשיו וקיימים לגביו גורמים שונים המגבירים את הסיכון להסתבכות נוספת עם החוק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מעשיו של הנאשם בעת מעצרו</w:t>
      </w:r>
      <w:r>
        <w:rPr>
          <w:rtl w:val="true"/>
        </w:rPr>
        <w:t xml:space="preserve">, </w:t>
      </w:r>
      <w:r>
        <w:rPr>
          <w:rtl w:val="true"/>
        </w:rPr>
        <w:t>בריחתו מן השוטרים</w:t>
      </w:r>
      <w:r>
        <w:rPr>
          <w:rtl w:val="true"/>
        </w:rPr>
        <w:t xml:space="preserve">, </w:t>
      </w:r>
      <w:r>
        <w:rPr>
          <w:rtl w:val="true"/>
        </w:rPr>
        <w:t>השלכת הנשק</w:t>
      </w:r>
      <w:r>
        <w:rPr>
          <w:rtl w:val="true"/>
        </w:rPr>
        <w:t xml:space="preserve">, </w:t>
      </w:r>
      <w:r>
        <w:rPr>
          <w:rtl w:val="true"/>
        </w:rPr>
        <w:t>ניסיון ההימלטות מהניידת</w:t>
      </w:r>
      <w:r>
        <w:rPr>
          <w:rtl w:val="true"/>
        </w:rPr>
        <w:t xml:space="preserve">, </w:t>
      </w:r>
      <w:r>
        <w:rPr>
          <w:rtl w:val="true"/>
        </w:rPr>
        <w:t>כולם גם יחד מלמדים על חוסר כבוד לחוק ולנציגיו ומצדיקים בפני עצמם החמרה משמעותית בעונשו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עובר לסיכומי ב</w:t>
      </w:r>
      <w:r>
        <w:rPr>
          <w:rtl w:val="true"/>
        </w:rPr>
        <w:t>"</w:t>
      </w:r>
      <w:r>
        <w:rPr>
          <w:rtl w:val="true"/>
        </w:rPr>
        <w:t>כ הצדדים לעונש</w:t>
      </w:r>
      <w:r>
        <w:rPr>
          <w:rtl w:val="true"/>
        </w:rPr>
        <w:t xml:space="preserve">, </w:t>
      </w:r>
      <w:r>
        <w:rPr>
          <w:rtl w:val="true"/>
        </w:rPr>
        <w:t>שמעתי את עדותו של מר מאמון חאמד</w:t>
      </w:r>
      <w:r>
        <w:rPr>
          <w:rtl w:val="true"/>
        </w:rPr>
        <w:t xml:space="preserve">, </w:t>
      </w:r>
      <w:r>
        <w:rPr>
          <w:rtl w:val="true"/>
        </w:rPr>
        <w:t>אביו של הנאשם</w:t>
      </w:r>
      <w:r>
        <w:rPr>
          <w:rtl w:val="true"/>
        </w:rPr>
        <w:t xml:space="preserve">, </w:t>
      </w:r>
      <w:r>
        <w:rPr>
          <w:rtl w:val="true"/>
        </w:rPr>
        <w:t>אשר ביקש את רחמי בית המשפט על בנו</w:t>
      </w:r>
      <w:r>
        <w:rPr>
          <w:rtl w:val="true"/>
        </w:rPr>
        <w:t xml:space="preserve">, </w:t>
      </w:r>
      <w:r>
        <w:rPr>
          <w:rtl w:val="true"/>
        </w:rPr>
        <w:t>שזו לו טעותו הראשונה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הסנגור מבקש שלא למצות את הדין עם הנאשם ולהסתפק בתקופת מעצרו </w:t>
      </w:r>
      <w:r>
        <w:rPr>
          <w:rtl w:val="true"/>
        </w:rPr>
        <w:t>(</w:t>
      </w:r>
      <w:r>
        <w:rPr>
          <w:rtl w:val="true"/>
        </w:rPr>
        <w:t xml:space="preserve">החל מיום </w:t>
      </w:r>
      <w:r>
        <w:rPr/>
        <w:t>27.2.11</w:t>
      </w:r>
      <w:r>
        <w:rPr>
          <w:rtl w:val="true"/>
        </w:rPr>
        <w:t xml:space="preserve">); </w:t>
      </w:r>
      <w:r>
        <w:rPr>
          <w:rtl w:val="true"/>
        </w:rPr>
        <w:t>הסנגור מבקש להתחשב בהודאת הנאשם בהזדמנות הראשונה כבר בחקירתו במשטרה</w:t>
      </w:r>
      <w:r>
        <w:rPr>
          <w:rtl w:val="true"/>
        </w:rPr>
        <w:t xml:space="preserve">, </w:t>
      </w:r>
      <w:r>
        <w:rPr>
          <w:rtl w:val="true"/>
        </w:rPr>
        <w:t xml:space="preserve">בגילו הצעיר </w:t>
      </w:r>
      <w:r>
        <w:rPr>
          <w:rtl w:val="true"/>
        </w:rPr>
        <w:t>(</w:t>
      </w:r>
      <w:r>
        <w:rPr>
          <w:rtl w:val="true"/>
        </w:rPr>
        <w:t xml:space="preserve">בן 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>ובעובדה</w:t>
      </w:r>
      <w:r>
        <w:rPr>
          <w:rtl w:val="true"/>
        </w:rPr>
        <w:t xml:space="preserve">, </w:t>
      </w:r>
      <w:r>
        <w:rPr>
          <w:rtl w:val="true"/>
        </w:rPr>
        <w:t>כי מדובר במעידתו הראשונה</w:t>
      </w:r>
      <w:r>
        <w:rPr>
          <w:rtl w:val="true"/>
        </w:rPr>
        <w:t xml:space="preserve">, </w:t>
      </w:r>
      <w:r>
        <w:rPr>
          <w:rtl w:val="true"/>
        </w:rPr>
        <w:t>שכן אין לחובת הנאשם הרשעות קודמות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מבקש הסנגור להתחשב בחרטתו של הנאשם וכן בכאב וסבל שנגרמו לנאשם ולבני משפחתו עקב מעצרו של הנאשם מאחורי סורג ובריח</w:t>
      </w:r>
      <w:r>
        <w:rPr>
          <w:rtl w:val="true"/>
        </w:rPr>
        <w:t xml:space="preserve">, </w:t>
      </w:r>
      <w:r>
        <w:rPr>
          <w:rtl w:val="true"/>
        </w:rPr>
        <w:t>אף שבית המשפט העליון הורה על בחינת חלופת מעצר לשחרורו מחוץ לאזור מגוריו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מדובר בנאשם שסיים בית ספר תיכון ואשר מקווה להמשיך וללמוד</w:t>
      </w:r>
      <w:r>
        <w:rPr>
          <w:rtl w:val="true"/>
        </w:rPr>
        <w:t xml:space="preserve">, </w:t>
      </w:r>
      <w:r>
        <w:rPr>
          <w:rtl w:val="true"/>
        </w:rPr>
        <w:t>כאשר בשלב זה הוא עובד בעסק של אביו</w:t>
      </w:r>
      <w:r>
        <w:rPr>
          <w:rtl w:val="true"/>
        </w:rPr>
        <w:t xml:space="preserve">, </w:t>
      </w:r>
      <w:r>
        <w:rPr>
          <w:rtl w:val="true"/>
        </w:rPr>
        <w:t>שמהווה מקור פרנסה לכל המשפחה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סמך את טיעוניו על פסק הדין שניתן 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2044/11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גנאדי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בלוצרקובסקי</w:t>
      </w:r>
      <w:r>
        <w:rPr>
          <w:rtl w:val="true"/>
        </w:rPr>
        <w:t xml:space="preserve">, </w:t>
      </w:r>
      <w:r>
        <w:rPr>
          <w:rtl w:val="true"/>
        </w:rPr>
        <w:t xml:space="preserve">לפיו העמיד בית המשפט העליון את העונש בגין עבירות בנשק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לטענת הסנגור</w:t>
      </w:r>
      <w:r>
        <w:rPr>
          <w:rtl w:val="true"/>
        </w:rPr>
        <w:t xml:space="preserve">, </w:t>
      </w:r>
      <w:r>
        <w:rPr>
          <w:rtl w:val="true"/>
        </w:rPr>
        <w:t>שליחת הנאשם כאן לריצוי מאסר בפועל עלולה להרוס את עתידו</w:t>
      </w:r>
      <w:r>
        <w:rPr>
          <w:rtl w:val="true"/>
        </w:rPr>
        <w:t xml:space="preserve">, </w:t>
      </w:r>
      <w:r>
        <w:rPr>
          <w:rtl w:val="true"/>
        </w:rPr>
        <w:t>כאשר כל בני משפחתו הינם נעדרי עבר פלילי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שמעתי את דברי הנאשם שהביע צער וחרטה על מעשיו והבטיח לא לחזור על מעשים כאלה 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אין חולק</w:t>
      </w:r>
      <w:r>
        <w:rPr>
          <w:rtl w:val="true"/>
        </w:rPr>
        <w:t xml:space="preserve">, </w:t>
      </w:r>
      <w:r>
        <w:rPr>
          <w:rtl w:val="true"/>
        </w:rPr>
        <w:t>כי הנאשם חטא בעבירות בנשק</w:t>
      </w:r>
      <w:r>
        <w:rPr>
          <w:rtl w:val="true"/>
        </w:rPr>
        <w:t xml:space="preserve">, </w:t>
      </w:r>
      <w:r>
        <w:rPr>
          <w:rtl w:val="true"/>
        </w:rPr>
        <w:t>שהינן עבירות חמורות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חטא הנאשם בעבירות של שיבוש מהלכי משפט והפרעה לשוטר במילוי תפקידו</w:t>
      </w:r>
      <w:r>
        <w:rPr>
          <w:rtl w:val="true"/>
        </w:rPr>
        <w:t xml:space="preserve">. </w:t>
      </w:r>
      <w:r>
        <w:rPr>
          <w:rtl w:val="true"/>
        </w:rPr>
        <w:t>בית המשפט העליון עמד לא אחת על המסוכנות הרבה הטמונה בעבירות נשק</w:t>
      </w:r>
      <w:r>
        <w:rPr>
          <w:rtl w:val="true"/>
        </w:rPr>
        <w:t xml:space="preserve">. </w:t>
      </w:r>
      <w:r>
        <w:rPr>
          <w:rtl w:val="true"/>
        </w:rPr>
        <w:t>בנשיאת ובהחזקת נשק שלא כדין כרוך סיכון ניכר לציבור מאחר והניסיון מלמד</w:t>
      </w:r>
      <w:r>
        <w:rPr>
          <w:rtl w:val="true"/>
        </w:rPr>
        <w:t xml:space="preserve">, </w:t>
      </w:r>
      <w:r>
        <w:rPr>
          <w:rtl w:val="true"/>
        </w:rPr>
        <w:t>כי מזומנות נעשה שימוש בנשק זה לביצוען של עבירות אחרות כמו גם לפעילות עוינת</w:t>
      </w:r>
      <w:r>
        <w:rPr>
          <w:rtl w:val="true"/>
        </w:rPr>
        <w:t xml:space="preserve">; </w:t>
      </w:r>
      <w:r>
        <w:rPr>
          <w:rtl w:val="true"/>
        </w:rPr>
        <w:t>הואיל וכך</w:t>
      </w:r>
      <w:r>
        <w:rPr>
          <w:rtl w:val="true"/>
        </w:rPr>
        <w:t xml:space="preserve">, </w:t>
      </w:r>
      <w:r>
        <w:rPr>
          <w:rtl w:val="true"/>
        </w:rPr>
        <w:t>פסק בית המשפט העליון כי יש ליתן משקל ראוי לאינטרס הציבורי ולצורך בהרתעתם של עבריינים ועבריינים בכוח בביצוען של 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ולפיכך לנקוט גישה מחמירה כלפי מחזיקי נשק שלא כדין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2044/11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גנאדי בלוצרקובסקי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הנאשם נשא והחזיק באקדח טעון ומוכן לירי</w:t>
      </w:r>
      <w:r>
        <w:rPr>
          <w:rtl w:val="true"/>
        </w:rPr>
        <w:t xml:space="preserve">, </w:t>
      </w:r>
      <w:r>
        <w:rPr>
          <w:rtl w:val="true"/>
        </w:rPr>
        <w:t>בצהרי היום</w:t>
      </w:r>
      <w:r>
        <w:rPr>
          <w:rtl w:val="true"/>
        </w:rPr>
        <w:t xml:space="preserve">, </w:t>
      </w:r>
      <w:r>
        <w:rPr>
          <w:rtl w:val="true"/>
        </w:rPr>
        <w:t>בשכונת המגורים שבה הוא מתגורר</w:t>
      </w:r>
      <w:r>
        <w:rPr>
          <w:rtl w:val="true"/>
        </w:rPr>
        <w:t xml:space="preserve">. </w:t>
      </w:r>
      <w:r>
        <w:rPr>
          <w:rtl w:val="true"/>
        </w:rPr>
        <w:t>החזקתו של נשק ונשיאתו על ידי מי שאינו מורשה לכך</w:t>
      </w:r>
      <w:r>
        <w:rPr>
          <w:rtl w:val="true"/>
        </w:rPr>
        <w:t xml:space="preserve">, </w:t>
      </w:r>
      <w:r>
        <w:rPr>
          <w:rtl w:val="true"/>
        </w:rPr>
        <w:t xml:space="preserve">כרוכה סכנה רבה ועלולה להוביל להסלמה חמורה ולתוצאות קשות של כל אירוע בו יהיה מעורב אותו נושא נשק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4797/05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חאמד עבד אל קאדר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בי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הנאשם אינו לוקח אחריות מלאה למעשיו ונשקפת ממנו מסוכנות להסתבכות נוספת עם החוק</w:t>
      </w:r>
      <w:r>
        <w:rPr>
          <w:rtl w:val="true"/>
        </w:rPr>
        <w:t xml:space="preserve">, </w:t>
      </w:r>
      <w:r>
        <w:rPr>
          <w:rtl w:val="true"/>
        </w:rPr>
        <w:t>כעולה מתסקיר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בבואו של בית משפט לגזור דינו של נאשם</w:t>
      </w:r>
      <w:r>
        <w:rPr>
          <w:rtl w:val="true"/>
        </w:rPr>
        <w:t xml:space="preserve">, </w:t>
      </w:r>
      <w:r>
        <w:rPr>
          <w:rtl w:val="true"/>
        </w:rPr>
        <w:t>שומה עליו לשקול את מכלול שיקולי הענישה הצריכים לעניין</w:t>
      </w:r>
      <w:r>
        <w:rPr>
          <w:rtl w:val="true"/>
        </w:rPr>
        <w:t xml:space="preserve">, </w:t>
      </w:r>
      <w:r>
        <w:rPr>
          <w:rtl w:val="true"/>
        </w:rPr>
        <w:t>כמו גם את נסיבות העניין ונסיבותיו האישיות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עסקינן בנאשם צעיר נטול עבר פלילי</w:t>
      </w:r>
      <w:r>
        <w:rPr>
          <w:rtl w:val="true"/>
        </w:rPr>
        <w:t xml:space="preserve">, </w:t>
      </w:r>
      <w:r>
        <w:rPr>
          <w:rtl w:val="true"/>
        </w:rPr>
        <w:t>שזו הסתבכותו הראשונה עם החוק</w:t>
      </w:r>
      <w:r>
        <w:rPr>
          <w:rtl w:val="true"/>
        </w:rPr>
        <w:t xml:space="preserve">, </w:t>
      </w:r>
      <w:r>
        <w:rPr>
          <w:rtl w:val="true"/>
        </w:rPr>
        <w:t>אשר הודה כבר בחקירתו במשטרה בביצוע העבירות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 xml:space="preserve">כי תקופת מעצרו עד כה השפיעה רבות על הנאשם ועל בני משפחתו </w:t>
      </w:r>
      <w:r>
        <w:rPr>
          <w:rtl w:val="true"/>
        </w:rPr>
        <w:t>(</w:t>
      </w:r>
      <w:r>
        <w:rPr>
          <w:rtl w:val="true"/>
        </w:rPr>
        <w:t>כך לפי התרשמותי</w:t>
      </w:r>
      <w:r>
        <w:rPr>
          <w:rtl w:val="true"/>
        </w:rPr>
        <w:t xml:space="preserve">, </w:t>
      </w:r>
      <w:r>
        <w:rPr>
          <w:rtl w:val="true"/>
        </w:rPr>
        <w:t>אף שער אני לדברי קצינת המבחן בעמוד הראשון בפסקה השנייה</w:t>
      </w:r>
      <w:r>
        <w:rPr>
          <w:rtl w:val="true"/>
        </w:rPr>
        <w:t xml:space="preserve">). </w:t>
      </w:r>
      <w:r>
        <w:rPr>
          <w:rtl w:val="true"/>
        </w:rPr>
        <w:t>תפקודו של הנאשם עובר למעצרו היה בדרך כלל תפקוד חיובי ונורמטיבי</w:t>
      </w:r>
      <w:r>
        <w:rPr>
          <w:rtl w:val="true"/>
        </w:rPr>
        <w:t xml:space="preserve">. </w:t>
      </w:r>
      <w:r>
        <w:rPr>
          <w:rtl w:val="true"/>
        </w:rPr>
        <w:t>הנאשם סיים בית ספר תיכון ועבד בעסק המשפחתי של אביו</w:t>
      </w:r>
      <w:r>
        <w:rPr>
          <w:rtl w:val="true"/>
        </w:rPr>
        <w:t xml:space="preserve">. </w:t>
      </w:r>
      <w:r>
        <w:rPr>
          <w:rtl w:val="true"/>
        </w:rPr>
        <w:t>משפחת מוצאו של הנאשם הינה משפחה נורמטיבית</w:t>
      </w:r>
      <w:r>
        <w:rPr>
          <w:rtl w:val="true"/>
        </w:rPr>
        <w:t xml:space="preserve">. </w:t>
      </w:r>
      <w:r>
        <w:rPr>
          <w:rtl w:val="true"/>
        </w:rPr>
        <w:t>דברי אביו של הנאשם</w:t>
      </w:r>
      <w:r>
        <w:rPr>
          <w:rtl w:val="true"/>
        </w:rPr>
        <w:t xml:space="preserve">, </w:t>
      </w:r>
      <w:r>
        <w:rPr>
          <w:rtl w:val="true"/>
        </w:rPr>
        <w:t>שהביע בשם בנו צער על המקרה</w:t>
      </w:r>
      <w:r>
        <w:rPr>
          <w:rtl w:val="true"/>
        </w:rPr>
        <w:t xml:space="preserve">, </w:t>
      </w:r>
      <w:r>
        <w:rPr>
          <w:rtl w:val="true"/>
        </w:rPr>
        <w:t>הותירו עלי רושם חיובי</w:t>
      </w:r>
      <w:r>
        <w:rPr>
          <w:rtl w:val="true"/>
        </w:rPr>
        <w:t xml:space="preserve">, </w:t>
      </w:r>
      <w:r>
        <w:rPr>
          <w:rtl w:val="true"/>
        </w:rPr>
        <w:t>והם משקפים הפנמה של חומרת המעשים בהם חטא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גזירת העונש הינה פרי של שקלול ואיזון בין שיקולי הענישה השונים העומדים על הפרק</w:t>
      </w:r>
      <w:r>
        <w:rPr>
          <w:rtl w:val="true"/>
        </w:rPr>
        <w:t xml:space="preserve">; </w:t>
      </w:r>
      <w:r>
        <w:rPr>
          <w:rtl w:val="true"/>
        </w:rPr>
        <w:t>מחד גיסא חומרת העבירה</w:t>
      </w:r>
      <w:r>
        <w:rPr>
          <w:rtl w:val="true"/>
        </w:rPr>
        <w:t xml:space="preserve">, </w:t>
      </w:r>
      <w:r>
        <w:rPr>
          <w:rtl w:val="true"/>
        </w:rPr>
        <w:t>המסוכנות הטמונה בעבירה ורמת הענישה הנוהגת לגבי עבירות בנשק</w:t>
      </w:r>
      <w:r>
        <w:rPr>
          <w:rtl w:val="true"/>
        </w:rPr>
        <w:t xml:space="preserve">,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אכן בעבירות בנשק יש קשת רחבה של עונשים</w:t>
      </w:r>
      <w:r>
        <w:rPr>
          <w:rtl w:val="true"/>
        </w:rPr>
        <w:t xml:space="preserve">; </w:t>
      </w:r>
      <w:r>
        <w:rPr>
          <w:rtl w:val="true"/>
        </w:rPr>
        <w:t>אותם עונשים הינם תוצאה ישירה של יישום עיקרון הענישה האינדיבידואלית הנוהג בשיטתנו</w:t>
      </w:r>
      <w:r>
        <w:rPr>
          <w:rtl w:val="true"/>
        </w:rPr>
        <w:t xml:space="preserve">. </w:t>
      </w:r>
      <w:r>
        <w:rPr>
          <w:rtl w:val="true"/>
        </w:rPr>
        <w:t>אין מקרה אחד זהה למשנהו</w:t>
      </w:r>
      <w:r>
        <w:rPr>
          <w:rtl w:val="true"/>
        </w:rPr>
        <w:t xml:space="preserve">, </w:t>
      </w:r>
      <w:r>
        <w:rPr>
          <w:rtl w:val="true"/>
        </w:rPr>
        <w:t>כך העונש שנגזר שונה ממקרה למקרה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2044/11</w:t>
        </w:r>
      </w:hyperlink>
      <w:r>
        <w:rPr>
          <w:rtl w:val="true"/>
        </w:rPr>
        <w:t xml:space="preserve">, </w:t>
      </w:r>
      <w:r>
        <w:rPr>
          <w:rtl w:val="true"/>
        </w:rPr>
        <w:t>אליו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אף שהמשיב באותו מקרה הצטייד בשני אקדחים ומחסניות המכילות תחמושת חיה</w:t>
      </w:r>
      <w:r>
        <w:rPr>
          <w:rtl w:val="true"/>
        </w:rPr>
        <w:t xml:space="preserve">, </w:t>
      </w:r>
      <w:r>
        <w:rPr>
          <w:rtl w:val="true"/>
        </w:rPr>
        <w:t>להבדיל מעובדות מקרה דנן</w:t>
      </w:r>
      <w:r>
        <w:rPr>
          <w:rtl w:val="true"/>
        </w:rPr>
        <w:t xml:space="preserve">, </w:t>
      </w:r>
      <w:r>
        <w:rPr>
          <w:rtl w:val="true"/>
        </w:rPr>
        <w:t>לפיהן הנאשם הצטייד באקדח אחד ומחסנית אחת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להסתפק בענישה מותנית ובהטלת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 xml:space="preserve">אף שלחובת אותו משיב עבר פלילי </w:t>
      </w:r>
      <w:r>
        <w:rPr>
          <w:rtl w:val="true"/>
        </w:rPr>
        <w:t>(</w:t>
      </w:r>
      <w:r>
        <w:rPr>
          <w:rtl w:val="true"/>
        </w:rPr>
        <w:t>שאינו מכביד יתר על המידה</w:t>
      </w:r>
      <w:r>
        <w:rPr>
          <w:rtl w:val="true"/>
        </w:rPr>
        <w:t xml:space="preserve">), </w:t>
      </w:r>
      <w:r>
        <w:rPr>
          <w:rtl w:val="true"/>
        </w:rPr>
        <w:t>להבדיל מהנאשם דנן שאין לחובתו עבר פלילי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גזר על המשיב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 ורכיבי ענישה נוספים</w:t>
      </w:r>
      <w:r>
        <w:rPr>
          <w:rtl w:val="true"/>
        </w:rPr>
        <w:t xml:space="preserve">; </w:t>
      </w:r>
      <w:r>
        <w:rPr>
          <w:rtl w:val="true"/>
        </w:rPr>
        <w:t xml:space="preserve">בית המשפט העליון קיבל את ערעור המדינה והעמיד את עונשו של המשיב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. </w:t>
      </w:r>
      <w:r>
        <w:rPr>
          <w:rtl w:val="true"/>
        </w:rPr>
        <w:t>ער אני לכך</w:t>
      </w:r>
      <w:r>
        <w:rPr>
          <w:rtl w:val="true"/>
        </w:rPr>
        <w:t xml:space="preserve">, </w:t>
      </w:r>
      <w:r>
        <w:rPr>
          <w:rtl w:val="true"/>
        </w:rPr>
        <w:t>שהמלצת שירות המבחן שונה בתכלית במקרה דנן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נוכח כל האמור לעיל</w:t>
      </w:r>
      <w:r>
        <w:rPr>
          <w:rtl w:val="true"/>
        </w:rPr>
        <w:t xml:space="preserve">, </w:t>
      </w:r>
      <w:r>
        <w:rPr>
          <w:rtl w:val="true"/>
        </w:rPr>
        <w:t>ולאחר ששקלתי את טיעוני הצדדים ואת שיקולי הענישה הרלוונטיים</w:t>
      </w:r>
      <w:r>
        <w:rPr>
          <w:rtl w:val="true"/>
        </w:rPr>
        <w:t xml:space="preserve">, </w:t>
      </w:r>
      <w:r>
        <w:rPr>
          <w:rtl w:val="true"/>
        </w:rPr>
        <w:t>הנני לגזור על הנאשם את העונשים 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 xml:space="preserve">חודשי מאסר בפועל בניכוי ימי מעצרו החל מיום </w:t>
      </w:r>
      <w:r>
        <w:rPr/>
        <w:t>27.2.11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שנתיים והתנאי הוא שלא יעבור עבירה מהעבירות בהן הורשע בתיק 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סכום הקנס ישולם 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שאהר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אטרש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6138-03-11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אלד בן מאמון חאמד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26792" TargetMode="External"/><Relationship Id="rId3" Type="http://schemas.openxmlformats.org/officeDocument/2006/relationships/hyperlink" Target="http://www.nevo.co.il/case/2926792" TargetMode="External"/><Relationship Id="rId4" Type="http://schemas.openxmlformats.org/officeDocument/2006/relationships/hyperlink" Target="http://www.nevo.co.il/case/2926792" TargetMode="External"/><Relationship Id="rId5" Type="http://schemas.openxmlformats.org/officeDocument/2006/relationships/hyperlink" Target="http://www.nevo.co.il/case/2926792" TargetMode="External"/><Relationship Id="rId6" Type="http://schemas.openxmlformats.org/officeDocument/2006/relationships/hyperlink" Target="http://www.nevo.co.il/case/2926792" TargetMode="External"/><Relationship Id="rId7" Type="http://schemas.openxmlformats.org/officeDocument/2006/relationships/hyperlink" Target="http://www.nevo.co.il/case/2926792" TargetMode="External"/><Relationship Id="rId8" Type="http://schemas.openxmlformats.org/officeDocument/2006/relationships/hyperlink" Target="http://www.nevo.co.il/case/2926792" TargetMode="External"/><Relationship Id="rId9" Type="http://schemas.openxmlformats.org/officeDocument/2006/relationships/hyperlink" Target="http://www.nevo.co.il/case/2926792" TargetMode="External"/><Relationship Id="rId10" Type="http://schemas.openxmlformats.org/officeDocument/2006/relationships/hyperlink" Target="http://www.nevo.co.il/case/603698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255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5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808567" TargetMode="External"/><Relationship Id="rId25" Type="http://schemas.openxmlformats.org/officeDocument/2006/relationships/hyperlink" Target="http://www.nevo.co.il/case/5808567" TargetMode="External"/><Relationship Id="rId26" Type="http://schemas.openxmlformats.org/officeDocument/2006/relationships/hyperlink" Target="http://www.nevo.co.il/case/5977355" TargetMode="External"/><Relationship Id="rId27" Type="http://schemas.openxmlformats.org/officeDocument/2006/relationships/hyperlink" Target="http://www.nevo.co.il/case/6040482" TargetMode="External"/><Relationship Id="rId28" Type="http://schemas.openxmlformats.org/officeDocument/2006/relationships/hyperlink" Target="http://www.nevo.co.il/case/5808567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2016-04-26T13:10:00Z</dcterms:created>
  <dc:creator> </dc:creator>
  <dc:description/>
  <cp:keywords/>
  <dc:language>en-IL</dc:language>
  <cp:lastModifiedBy>run</cp:lastModifiedBy>
  <dcterms:modified xsi:type="dcterms:W3CDTF">2016-04-26T13:10:00Z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ח'אלד בן מאמון חאמד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2926792:8;6036981;5808567:3;5977355;6040482</vt:lpwstr>
  </property>
  <property fmtid="{D5CDD505-2E9C-101B-9397-08002B2CF9AE}" pid="9" name="CITY">
    <vt:lpwstr>נצ'</vt:lpwstr>
  </property>
  <property fmtid="{D5CDD505-2E9C-101B-9397-08002B2CF9AE}" pid="10" name="DATE">
    <vt:lpwstr>20110719</vt:lpwstr>
  </property>
  <property fmtid="{D5CDD505-2E9C-101B-9397-08002B2CF9AE}" pid="11" name="DELEMATA">
    <vt:lpwstr>http://elyon2.court.gov.il/scripts9/mgrqispi93.dll?Appname=eScourt&amp;Prgname=GetFileDetails&amp;Arguments=-N2011-005868-0</vt:lpwstr>
  </property>
  <property fmtid="{D5CDD505-2E9C-101B-9397-08002B2CF9AE}" pid="12" name="ISABSTRACT">
    <vt:lpwstr>Y</vt:lpwstr>
  </property>
  <property fmtid="{D5CDD505-2E9C-101B-9397-08002B2CF9AE}" pid="13" name="JUDGE">
    <vt:lpwstr>שאהר אטרש</vt:lpwstr>
  </property>
  <property fmtid="{D5CDD505-2E9C-101B-9397-08002B2CF9AE}" pid="14" name="LAWLISTTMP1">
    <vt:lpwstr>70301/144.a;144.b;244;255</vt:lpwstr>
  </property>
  <property fmtid="{D5CDD505-2E9C-101B-9397-08002B2CF9AE}" pid="15" name="LAWYER">
    <vt:lpwstr>מורן רייצ'ס;חאלד אבו אחמד;מוסטפא אבו אחמד</vt:lpwstr>
  </property>
  <property fmtid="{D5CDD505-2E9C-101B-9397-08002B2CF9AE}" pid="16" name="LINKK1">
    <vt:lpwstr>http://www.nevo.co.il/Psika_word/mechozi/ME-11-03-6138-48.doc;להחלטה במחוזי (15-03-2011)#תפ 6138-03-11 מדינת ישראל נ' ח'אלד חאמד (עציר)#שופטים: תאופיק כתילי#עו''ד: הובא, הובא הליווי, שירי שחף, מוסטפא אבו אחמד וחאלד אבו אחמד</vt:lpwstr>
  </property>
  <property fmtid="{D5CDD505-2E9C-101B-9397-08002B2CF9AE}" pid="17" name="LINKK2">
    <vt:lpwstr>http://www.nevo.co.il/Psika_word/mechozi/ME-11-03-6138-858.doc;להחלטה במחוזי (30-03-2011)#תפ 6138-03-11 מדינת ישראל נ' ח'אלד חאמד#שופטים: תאופיק כתילי#עו''ד: אריאל כהן, אבו אחמד</vt:lpwstr>
  </property>
  <property fmtid="{D5CDD505-2E9C-101B-9397-08002B2CF9AE}" pid="18" name="LINKK3">
    <vt:lpwstr>http://www.nevo.co.il/Psika_word/mechozi/ME-11-03-6138-178.doc;להחלטה במחוזי (12-04-2011)#תפ 6138-03-11 מדינת ישראל נ' ח'אלד חמד#שופטים: תאופיק כתילי#עו''ד: יעל שוחט, מוסטפא אבו אחמד</vt:lpwstr>
  </property>
  <property fmtid="{D5CDD505-2E9C-101B-9397-08002B2CF9AE}" pid="19" name="LINKK4">
    <vt:lpwstr>http://www.nevo.co.il/Psika_word/mechozi/ME-11-03-6138-975.doc;להחלטה במחוזי (12-04-2011)#תפ 6138-03-11 מדינת ישראל נ' ח'אלד חאמד#שופטים: שאהר אטרש#עו''ד: גדי צפריר, מוסטפא אבו אחמד חאלד אבו אחמד</vt:lpwstr>
  </property>
  <property fmtid="{D5CDD505-2E9C-101B-9397-08002B2CF9AE}" pid="20" name="LINKK5">
    <vt:lpwstr>http://www.nevo.co.il/Psika_word/mechozi/ME-11-03-6138-791.doc;להחלטה במחוזי (12-05-2011)#תפ 6138-03-11 מדינת ישראל נ' ח'אלד בן מאמון חמד#שופטים: שאהר אטרש#עו''ד: גדי צפריר, מוסטפא אבו אחמד וחאלד אבו אחמד</vt:lpwstr>
  </property>
  <property fmtid="{D5CDD505-2E9C-101B-9397-08002B2CF9AE}" pid="21" name="LINKK6">
    <vt:lpwstr>http://www.nevo.co.il/Psika_word/mechozi/ME-11-03-6138-871.doc;להחלטה במחוזי (23-05-2011)#תפ 6138-03-11 מדינת ישראל נ' ח'אלד בן מאמון חאמד#שופטים: שאהר אטרש#עו''ד: גדי צפריר, מוסטפא אבו אחמד חאלד אבו אחמד</vt:lpwstr>
  </property>
  <property fmtid="{D5CDD505-2E9C-101B-9397-08002B2CF9AE}" pid="22" name="LINKK7">
    <vt:lpwstr>http://www.nevo.co.il/Psika_word/mechozi/ME-11-03-6138-410.doc;להחלטה במחוזי (31-05-2011)#תפ 6138-03-11 מדינת ישראל נ' ח'אלד בן מאמון חאמד#שופטים: שאהר אטרש#עו''ד: הובא, הובא הליווי, שירי שחף, מוסטפא אבו אחמד וחאלד אבו אחמד</vt:lpwstr>
  </property>
  <property fmtid="{D5CDD505-2E9C-101B-9397-08002B2CF9AE}" pid="23" name="LINKK8">
    <vt:lpwstr>http://www.nevo.co.il/Psika_word/mechozi/ME-11-03-6138-175.doc;להחלטה במחוזי (17-07-2011)#תפ 6138-03-11 מדינת ישראל נ' ח'אלד בן מאמון חאמד#שופטים: שאהר אטרש#עו''ד: אור לרנר, חאלד אבו אחמד מוסטפא אבו אחמד</vt:lpwstr>
  </property>
  <property fmtid="{D5CDD505-2E9C-101B-9397-08002B2CF9AE}" pid="24" name="LINKK9">
    <vt:lpwstr>http://www.nevo.co.il/Psika_word/elyon/11058680-p01.doc;לפסק-דין בעליון (25-08-2011)#עפ 5868/11 מדינת ישראל נ' חאלד חאמד#שופטים: ס' ג'ובראן, ח' מלצר, ה א' ריבלין#עו''ד: מוסטפא אבו אחמד, אפרת גולדשטיין</vt:lpwstr>
  </property>
  <property fmtid="{D5CDD505-2E9C-101B-9397-08002B2CF9AE}" pid="25" name="NEWPARTA">
    <vt:lpwstr>6138</vt:lpwstr>
  </property>
  <property fmtid="{D5CDD505-2E9C-101B-9397-08002B2CF9AE}" pid="26" name="NEWPARTB">
    <vt:lpwstr>03</vt:lpwstr>
  </property>
  <property fmtid="{D5CDD505-2E9C-101B-9397-08002B2CF9AE}" pid="27" name="NEWPARTC">
    <vt:lpwstr>11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390020110719</vt:lpwstr>
  </property>
  <property fmtid="{D5CDD505-2E9C-101B-9397-08002B2CF9AE}" pid="38" name="TYPE_N_DATE">
    <vt:lpwstr>39020110719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