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61452-02-16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רעד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179" w:leader="none"/>
              </w:tabs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18.01.17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7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18"/>
      </w:tblGrid>
      <w:tr>
        <w:trPr/>
        <w:tc>
          <w:tcPr>
            <w:tcW w:w="87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871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start"/>
        <w:rPr>
          <w:b/>
          <w:bCs/>
          <w:sz w:val="6"/>
          <w:szCs w:val="6"/>
          <w:u w:val="none"/>
        </w:rPr>
      </w:pPr>
      <w:r>
        <w:rPr>
          <w:b/>
          <w:bCs/>
          <w:sz w:val="6"/>
          <w:szCs w:val="6"/>
          <w:u w:val="none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br/>
              <w:br/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רעד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רעד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עתאמנה</w:t>
      </w:r>
      <w:r>
        <w:rPr>
          <w:rFonts w:cs="Times New Roman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פתח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כמפורט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6" w:name="ABSTRACT_START"/>
      <w:bookmarkEnd w:id="6"/>
      <w:r>
        <w:rPr>
          <w:rFonts w:ascii="Calibri" w:hAnsi="Calibri" w:cs="Calibri"/>
          <w:u w:val="single"/>
          <w:rtl w:val="true"/>
        </w:rPr>
        <w:t>שתי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29</w:t>
        </w:r>
        <w:r>
          <w:rPr>
            <w:rStyle w:val="Hyperlink"/>
            <w:rFonts w:cs="David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/>
            <w:rtl w:val="true"/>
          </w:rPr>
          <w:t>ו</w:t>
        </w:r>
        <w:r>
          <w:rPr>
            <w:rStyle w:val="Hyperlink"/>
            <w:rFonts w:cs="David" w:ascii="Calibri" w:hAnsi="Calibri"/>
            <w:rtl w:val="true"/>
          </w:rPr>
          <w:t xml:space="preserve">- </w:t>
        </w:r>
        <w:r>
          <w:rPr>
            <w:rStyle w:val="Hyperlink"/>
            <w:rFonts w:cs="David" w:ascii="Calibri" w:hAnsi="Calibri"/>
          </w:rPr>
          <w:t>25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144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א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bookmarkStart w:id="7" w:name="ABSTRACT_END"/>
      <w:bookmarkEnd w:id="7"/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התגוררו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המחסנים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1.2.16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במחסנים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הציד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המקלע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26.6.14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אגבאריה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אמל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החליטו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וגופרית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וגופרית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זיקוקים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והגופרית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התערובת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לצינורות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מהתערובת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נפיצותה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ערבבו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הזיקוקים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התערובת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הנוספת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נפיצותה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11.2.16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ובמחסנים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במחסנים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במחסנים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במחסנים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ניטר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3.868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גרגרים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צינורות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זיקוקים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מפורקת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צינורות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חלולים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צנצנת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4.290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ריקן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ניטר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12.945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פשט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רגרסיה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בדיכאון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25.8.16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פאניקה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אפיזודיים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הרגעתי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מגרושתו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וקוגניטיביות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מאידך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קונפליקט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ואלים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ותנודות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רפרטואר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גירושיהם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מושיירפה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וברכבם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המתרחש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נסגר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תסכול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כעס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וברכבם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ובאימפולסיביות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הכעס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ההאשמות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שאירעה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וקוגניטיביות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וכוחניים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ומופנם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מגובשת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ומעיסוקו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בדימויו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תסכול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ומייעצת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ריגושים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ופתרונות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אדפטיביים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ועצמאית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בסיטואציות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ולהגיב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תרגומו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 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 ב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וגופרית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וגופרית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התערובת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לפיצוץ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חד פעמית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וברכושו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לאמצה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בשל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הסניגורים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24.4.16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שהוחזקו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לפני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ביחד עם </w:t>
      </w:r>
      <w:r>
        <w:rPr>
          <w:rFonts w:ascii="Calibri" w:hAnsi="Calibri" w:cs="Calibri"/>
          <w:rtl w:val="true"/>
        </w:rPr>
        <w:t>החומרים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תרופתי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פסיכיאטרי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בין משפחת הנאשמים לבין משפחת אמל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נוסף בעקבות תקיפת 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ואמו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אמל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 ב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אותו </w:t>
      </w:r>
      <w:r>
        <w:rPr>
          <w:rFonts w:ascii="Calibri" w:hAnsi="Calibri" w:cs="Calibri"/>
          <w:rtl w:val="true"/>
        </w:rPr>
        <w:t>אמל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מנותקים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מהמציאות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מופרזים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מחטיאים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נסיבות ה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ייקח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השלים </w:t>
      </w:r>
      <w:r>
        <w:rPr>
          <w:rFonts w:ascii="Calibri" w:hAnsi="Calibri" w:cs="Calibri"/>
          <w:rtl w:val="true"/>
        </w:rPr>
        <w:t>ט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 xml:space="preserve">וניו </w:t>
      </w:r>
      <w:r>
        <w:rPr>
          <w:rFonts w:ascii="Calibri" w:hAnsi="Calibri" w:cs="Calibri"/>
          <w:rtl w:val="true"/>
        </w:rPr>
        <w:t>בפני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במעשי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בפועל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מקטינות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התגבשה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האיסורים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ההרסני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להתמוטטותו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5643/14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23.6.15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לכל הפרשה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17.4.16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Fonts w:cs="Calibri" w:ascii="Calibri" w:hAnsi="Calibri"/>
        </w:rPr>
        <w:t>61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במהותה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 עומדת בניגוד ל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שנהל בעבר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Calibri" w:ascii="Calibri" w:hAnsi="Calibri"/>
        </w:rPr>
        <w:t>62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טחונו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טחונו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וקנין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31.7.13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וקנין</w:t>
      </w:r>
      <w:r>
        <w:rPr>
          <w:rFonts w:cs="Calibri" w:ascii="Calibri" w:hAnsi="Calibri"/>
          <w:rtl w:val="true"/>
        </w:rPr>
        <w:t xml:space="preserve">");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4450/11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עספור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8.2.12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2057/12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4.6.12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6210/10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23.3.11</w:t>
      </w:r>
      <w:r>
        <w:rPr>
          <w:rFonts w:cs="Calibri" w:ascii="Calibri" w:hAnsi="Calibri"/>
          <w:rtl w:val="true"/>
        </w:rPr>
        <w:t xml:space="preserve">);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319/11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4.12.11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יאסין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Garamond" w:hAnsi="Garamond" w:cs="Garamond"/>
          <w:spacing w:val="10"/>
        </w:rPr>
      </w:pPr>
      <w:r>
        <w:rPr>
          <w:rFonts w:ascii="Garamond" w:hAnsi="Garamond" w:cs="Garamond"/>
          <w:spacing w:val="10"/>
          <w:rtl w:val="true"/>
        </w:rPr>
        <w:t>בהקשר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זה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נפסק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כי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  <w:rtl w:val="true"/>
        </w:rPr>
        <w:t>"</w:t>
      </w:r>
      <w:r>
        <w:rPr>
          <w:rFonts w:ascii="Garamond" w:hAnsi="Garamond" w:cs="Garamond"/>
          <w:b/>
          <w:b/>
          <w:bCs/>
          <w:spacing w:val="10"/>
          <w:rtl w:val="true"/>
        </w:rPr>
        <w:t>יש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למגר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תופעה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סחר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בכלל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זה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ניסיון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או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סיוע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נשיאה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והובלה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של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נשק</w:t>
      </w:r>
      <w:r>
        <w:rPr>
          <w:rFonts w:cs="Garamond" w:ascii="Garamond" w:hAnsi="Garamond"/>
          <w:b/>
          <w:bCs/>
          <w:spacing w:val="10"/>
          <w:rtl w:val="true"/>
        </w:rPr>
        <w:t xml:space="preserve">. </w:t>
      </w:r>
      <w:r>
        <w:rPr>
          <w:rFonts w:ascii="Garamond" w:hAnsi="Garamond" w:cs="Garamond"/>
          <w:b/>
          <w:b/>
          <w:bCs/>
          <w:spacing w:val="10"/>
          <w:rtl w:val="true"/>
        </w:rPr>
        <w:t>שומה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לעשות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לבטחון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הציבור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הרחב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ואין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מקום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לגישה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עונשית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מקלה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כלפי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המערער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ואחרים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שכמותו</w:t>
      </w:r>
      <w:r>
        <w:rPr>
          <w:rFonts w:cs="Garamond" w:ascii="Garamond" w:hAnsi="Garamond"/>
          <w:b/>
          <w:bCs/>
          <w:spacing w:val="10"/>
          <w:rtl w:val="true"/>
        </w:rPr>
        <w:t xml:space="preserve">, </w:t>
      </w:r>
      <w:r>
        <w:rPr>
          <w:rFonts w:ascii="Garamond" w:hAnsi="Garamond" w:cs="Garamond"/>
          <w:b/>
          <w:b/>
          <w:bCs/>
          <w:spacing w:val="10"/>
          <w:rtl w:val="true"/>
        </w:rPr>
        <w:t>שמסכנים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חיי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אדם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בצורה</w:t>
      </w:r>
      <w:r>
        <w:rPr>
          <w:rFonts w:ascii="Garamond" w:hAnsi="Garamond" w:cs="Garamond"/>
          <w:b/>
          <w:b/>
          <w:bCs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spacing w:val="10"/>
          <w:rtl w:val="true"/>
        </w:rPr>
        <w:t>שכזו</w:t>
      </w:r>
      <w:r>
        <w:rPr>
          <w:rFonts w:cs="Garamond" w:ascii="Garamond" w:hAnsi="Garamond"/>
          <w:spacing w:val="10"/>
          <w:rtl w:val="true"/>
        </w:rPr>
        <w:t xml:space="preserve">" – </w:t>
      </w:r>
      <w:r>
        <w:rPr>
          <w:rFonts w:ascii="Garamond" w:hAnsi="Garamond" w:cs="Garamond"/>
          <w:spacing w:val="10"/>
          <w:rtl w:val="true"/>
        </w:rPr>
        <w:t>ראו</w:t>
      </w:r>
      <w:r>
        <w:rPr>
          <w:rFonts w:ascii="Garamond" w:hAnsi="Garamond" w:cs="Garamond"/>
          <w:spacing w:val="10"/>
          <w:rtl w:val="true"/>
        </w:rPr>
        <w:t xml:space="preserve"> </w:t>
      </w:r>
      <w:hyperlink r:id="rId26"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pacing w:val="10"/>
            <w:u w:val="single"/>
          </w:rPr>
          <w:t>7317/13</w:t>
        </w:r>
      </w:hyperlink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b/>
          <w:b/>
          <w:bCs/>
          <w:rtl w:val="true"/>
        </w:rPr>
        <w:t>חג</w:t>
      </w:r>
      <w:r>
        <w:rPr>
          <w:rFonts w:cs="Garamond" w:ascii="Garamond" w:hAnsi="Garamond"/>
          <w:b/>
          <w:bCs/>
          <w:rtl w:val="true"/>
        </w:rPr>
        <w:t>'</w:t>
      </w:r>
      <w:r>
        <w:rPr>
          <w:rFonts w:ascii="Garamond" w:hAnsi="Garamond" w:cs="Garamond"/>
          <w:b/>
          <w:b/>
          <w:bCs/>
          <w:rtl w:val="true"/>
        </w:rPr>
        <w:t>אב</w:t>
      </w:r>
      <w:r>
        <w:rPr>
          <w:rFonts w:ascii="Garamond" w:hAnsi="Garamond" w:cs="Garamond"/>
          <w:b/>
          <w:b/>
          <w:bCs/>
          <w:rtl w:val="true"/>
        </w:rPr>
        <w:t xml:space="preserve"> </w:t>
      </w:r>
      <w:r>
        <w:rPr>
          <w:rFonts w:ascii="Garamond" w:hAnsi="Garamond" w:cs="Garamond"/>
          <w:b/>
          <w:b/>
          <w:bCs/>
          <w:rtl w:val="true"/>
        </w:rPr>
        <w:t>נ</w:t>
      </w:r>
      <w:r>
        <w:rPr>
          <w:rFonts w:cs="Garamond" w:ascii="Garamond" w:hAnsi="Garamond"/>
          <w:b/>
          <w:bCs/>
          <w:rtl w:val="true"/>
        </w:rPr>
        <w:t xml:space="preserve">' </w:t>
      </w:r>
      <w:r>
        <w:rPr>
          <w:rFonts w:ascii="Garamond" w:hAnsi="Garamond" w:cs="Garamond"/>
          <w:b/>
          <w:b/>
          <w:bCs/>
          <w:rtl w:val="true"/>
        </w:rPr>
        <w:t>מדינת</w:t>
      </w:r>
      <w:r>
        <w:rPr>
          <w:rFonts w:ascii="Garamond" w:hAnsi="Garamond" w:cs="Garamond"/>
          <w:b/>
          <w:b/>
          <w:bCs/>
          <w:rtl w:val="true"/>
        </w:rPr>
        <w:t xml:space="preserve"> </w:t>
      </w:r>
      <w:r>
        <w:rPr>
          <w:rFonts w:ascii="Garamond" w:hAnsi="Garamond" w:cs="Garamond"/>
          <w:b/>
          <w:b/>
          <w:bCs/>
          <w:rtl w:val="true"/>
        </w:rPr>
        <w:t>ישראל</w:t>
      </w:r>
      <w:r>
        <w:rPr>
          <w:rFonts w:cs="Garamond" w:ascii="Garamond" w:hAnsi="Garamond"/>
          <w:spacing w:val="10"/>
          <w:rtl w:val="true"/>
        </w:rPr>
        <w:t>,</w:t>
      </w:r>
      <w:r>
        <w:rPr>
          <w:rFonts w:cs="Garamond" w:ascii="Garamond" w:hAnsi="Garamond"/>
          <w:spacing w:val="10"/>
          <w:rtl w:val="true"/>
        </w:rPr>
        <w:t>-</w:t>
      </w:r>
      <w:r>
        <w:rPr>
          <w:rFonts w:cs="Garamond" w:ascii="Garamond" w:hAnsi="Garamond"/>
          <w:spacing w:val="10"/>
          <w:rtl w:val="true"/>
        </w:rPr>
        <w:t>(</w:t>
      </w:r>
      <w:r>
        <w:rPr>
          <w:rFonts w:ascii="Garamond" w:hAnsi="Garamond" w:cs="Garamond"/>
          <w:spacing w:val="10"/>
          <w:rtl w:val="true"/>
        </w:rPr>
        <w:t>ניתן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ביום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19.5.14</w:t>
      </w:r>
      <w:r>
        <w:rPr>
          <w:rFonts w:cs="Garamond" w:ascii="Garamond" w:hAnsi="Garamond"/>
          <w:spacing w:val="10"/>
          <w:rtl w:val="true"/>
        </w:rPr>
        <w:t xml:space="preserve">), </w:t>
      </w:r>
      <w:r>
        <w:rPr>
          <w:rFonts w:ascii="Garamond" w:hAnsi="Garamond" w:cs="Garamond"/>
          <w:spacing w:val="10"/>
          <w:rtl w:val="true"/>
        </w:rPr>
        <w:t>שם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פיסקה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6</w:t>
      </w:r>
      <w:r>
        <w:rPr>
          <w:rFonts w:cs="Garamond" w:ascii="Garamond" w:hAnsi="Garamond"/>
          <w:spacing w:val="10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Garamond" w:hAnsi="Garamond" w:cs="Garamond"/>
          <w:spacing w:val="10"/>
        </w:rPr>
      </w:pPr>
      <w:r>
        <w:rPr>
          <w:rFonts w:cs="Garamond" w:ascii="Garamond" w:hAnsi="Garamond"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Garamond" w:hAnsi="Garamond" w:cs="Garamond"/>
          <w:spacing w:val="10"/>
        </w:rPr>
      </w:pPr>
      <w:r>
        <w:rPr>
          <w:rFonts w:cs="Garamond" w:ascii="Garamond" w:hAnsi="Garamond"/>
          <w:spacing w:val="10"/>
        </w:rPr>
        <w:t>68</w:t>
      </w:r>
      <w:r>
        <w:rPr>
          <w:rFonts w:cs="Garamond" w:ascii="Garamond" w:hAnsi="Garamond"/>
          <w:spacing w:val="10"/>
          <w:rtl w:val="true"/>
        </w:rPr>
        <w:t>.</w:t>
      </w:r>
      <w:r>
        <w:rPr>
          <w:rFonts w:cs="Garamond" w:ascii="Garamond" w:hAnsi="Garamond"/>
          <w:spacing w:val="10"/>
          <w:rtl w:val="true"/>
        </w:rPr>
        <w:tab/>
      </w:r>
      <w:r>
        <w:rPr>
          <w:rFonts w:ascii="Garamond" w:hAnsi="Garamond" w:cs="Garamond"/>
          <w:spacing w:val="10"/>
          <w:rtl w:val="true"/>
        </w:rPr>
        <w:t>אדגיש כי לא נעלם מעיני שהנאשמים שבפני לא הורשעו בעבירה של סחר בנשק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 xml:space="preserve">אולם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Garamond" w:ascii="Garamond" w:hAnsi="Garamond"/>
          <w:spacing w:val="10"/>
          <w:rtl w:val="true"/>
        </w:rPr>
        <w:tab/>
      </w:r>
      <w:r>
        <w:rPr>
          <w:rFonts w:ascii="Garamond" w:hAnsi="Garamond" w:cs="Garamond"/>
          <w:spacing w:val="10"/>
          <w:rtl w:val="true"/>
        </w:rPr>
        <w:t>בענייננו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המדובר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בשתי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עבירות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ניסיון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לייצור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נשק</w:t>
      </w:r>
      <w:r>
        <w:rPr>
          <w:rFonts w:cs="Garamond" w:ascii="Garamond" w:hAnsi="Garamond"/>
          <w:spacing w:val="10"/>
          <w:rtl w:val="true"/>
        </w:rPr>
        <w:t xml:space="preserve">. </w:t>
      </w:r>
      <w:r>
        <w:rPr>
          <w:rFonts w:ascii="Garamond" w:hAnsi="Garamond" w:cs="Garamond"/>
          <w:spacing w:val="10"/>
          <w:rtl w:val="true"/>
        </w:rPr>
        <w:t>יודגש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כי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המחוקק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קבע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רף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זהה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לעבירת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ייצור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נשק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וסחר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בנשק</w:t>
      </w:r>
      <w:r>
        <w:rPr>
          <w:rFonts w:ascii="Garamond" w:hAnsi="Garamond" w:cs="Garamond"/>
          <w:spacing w:val="10"/>
          <w:rtl w:val="true"/>
        </w:rPr>
        <w:t xml:space="preserve"> – </w:t>
      </w:r>
      <w:r>
        <w:rPr>
          <w:rFonts w:ascii="Garamond" w:hAnsi="Garamond" w:cs="Garamond"/>
          <w:spacing w:val="10"/>
          <w:rtl w:val="true"/>
        </w:rPr>
        <w:t>העונש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העומד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על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15</w:t>
      </w:r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שנות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מאסר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בפועל</w:t>
      </w:r>
      <w:r>
        <w:rPr>
          <w:rFonts w:cs="Garamond" w:ascii="Garamond" w:hAnsi="Garamond"/>
          <w:spacing w:val="10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Garamond" w:ascii="Garamond" w:hAnsi="Garamond"/>
          <w:spacing w:val="10"/>
        </w:rPr>
        <w:t>69</w:t>
      </w:r>
      <w:r>
        <w:rPr>
          <w:rFonts w:cs="Garamond" w:ascii="Garamond" w:hAnsi="Garamond"/>
          <w:spacing w:val="10"/>
          <w:rtl w:val="true"/>
        </w:rPr>
        <w:t>.</w:t>
        <w:tab/>
      </w:r>
      <w:r>
        <w:rPr>
          <w:rFonts w:ascii="Garamond" w:hAnsi="Garamond" w:cs="Garamond"/>
          <w:spacing w:val="10"/>
          <w:rtl w:val="true"/>
        </w:rPr>
        <w:t>בנוסף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לעבירות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ניסיון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לייצור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נשק</w:t>
      </w:r>
      <w:r>
        <w:rPr>
          <w:rFonts w:cs="Garamond" w:ascii="Garamond" w:hAnsi="Garamond"/>
          <w:spacing w:val="10"/>
          <w:rtl w:val="true"/>
        </w:rPr>
        <w:t xml:space="preserve">, </w:t>
      </w:r>
      <w:r>
        <w:rPr>
          <w:rFonts w:ascii="Garamond" w:hAnsi="Garamond" w:cs="Garamond"/>
          <w:spacing w:val="10"/>
          <w:rtl w:val="true"/>
        </w:rPr>
        <w:t>הורשעו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הנאשמים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גם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בעבירה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החזקת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ונשיאת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נשק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אשר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הצטברותן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מעצימה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את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חומרת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המעשים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ומחייבת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ענישה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מחמירה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ומרתיעה</w:t>
      </w:r>
      <w:r>
        <w:rPr>
          <w:rFonts w:cs="Garamond" w:ascii="Garamond" w:hAnsi="Garamond"/>
          <w:spacing w:val="10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Arial"/>
          <w:spacing w:val="10"/>
          <w:sz w:val="22"/>
          <w:szCs w:val="22"/>
        </w:rPr>
      </w:pPr>
      <w:r>
        <w:rPr>
          <w:rFonts w:cs="Arial" w:ascii="Calibri" w:hAnsi="Calibri"/>
          <w:spacing w:val="1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Garamond" w:ascii="Garamond" w:hAnsi="Garamond"/>
          <w:spacing w:val="10"/>
        </w:rPr>
        <w:t>70</w:t>
      </w:r>
      <w:r>
        <w:rPr>
          <w:rFonts w:cs="Garamond" w:ascii="Garamond" w:hAnsi="Garamond"/>
          <w:spacing w:val="10"/>
          <w:rtl w:val="true"/>
        </w:rPr>
        <w:t>.</w:t>
        <w:tab/>
      </w:r>
      <w:r>
        <w:rPr>
          <w:rFonts w:ascii="Garamond" w:hAnsi="Garamond" w:cs="Garamond"/>
          <w:spacing w:val="10"/>
          <w:rtl w:val="true"/>
        </w:rPr>
        <w:t>במספר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הזדמנויות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בתי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המשפט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מצאו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כי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יש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להחמיר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בעונשיהם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עברייני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נשק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בשל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הסכנה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הנשקפת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מהם</w:t>
      </w:r>
      <w:r>
        <w:rPr>
          <w:rFonts w:ascii="Garamond" w:hAnsi="Garamond" w:cs="Garamond"/>
          <w:spacing w:val="10"/>
          <w:rtl w:val="true"/>
        </w:rPr>
        <w:t xml:space="preserve"> – </w:t>
      </w:r>
      <w:r>
        <w:rPr>
          <w:rFonts w:ascii="Garamond" w:hAnsi="Garamond" w:cs="Garamond"/>
          <w:spacing w:val="10"/>
          <w:rtl w:val="true"/>
        </w:rPr>
        <w:t xml:space="preserve">ראו </w:t>
      </w:r>
      <w:hyperlink r:id="rId27"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pacing w:val="10"/>
            <w:u w:val="single"/>
          </w:rPr>
          <w:t>5380/06</w:t>
        </w:r>
      </w:hyperlink>
      <w:r>
        <w:rPr>
          <w:rFonts w:cs="Garamond" w:ascii="Garamond" w:hAnsi="Garamond"/>
          <w:spacing w:val="10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סלאמה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Fonts w:cs="Garamond" w:ascii="Garamond" w:hAnsi="Garamond"/>
          <w:spacing w:val="10"/>
          <w:rtl w:val="true"/>
        </w:rPr>
        <w:t>(</w:t>
      </w:r>
      <w:r>
        <w:rPr>
          <w:rFonts w:ascii="Garamond" w:hAnsi="Garamond" w:cs="Garamond"/>
          <w:spacing w:val="10"/>
          <w:rtl w:val="true"/>
        </w:rPr>
        <w:t>ניתן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ascii="Garamond" w:hAnsi="Garamond" w:cs="Garamond"/>
          <w:spacing w:val="10"/>
          <w:rtl w:val="true"/>
        </w:rPr>
        <w:t>ביום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Garamond" w:ascii="Garamond" w:hAnsi="Garamond"/>
          <w:spacing w:val="10"/>
        </w:rPr>
        <w:t>3.12.07</w:t>
      </w:r>
      <w:r>
        <w:rPr>
          <w:rFonts w:cs="Garamond" w:ascii="Garamond" w:hAnsi="Garamond"/>
          <w:spacing w:val="1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spacing w:val="10"/>
        </w:rPr>
      </w:pPr>
      <w:r>
        <w:rPr>
          <w:rFonts w:cs="Calibri" w:ascii="Calibri" w:hAnsi="Calibri"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ascii="Arial TUR;Arial" w:hAnsi="Arial TUR;Arial" w:cs="Arial TUR;Arial"/>
          <w:spacing w:val="10"/>
          <w:rtl w:val="true"/>
        </w:rPr>
        <w:t>יפים לענייננו הדברים שנאמרו ב</w:t>
      </w:r>
      <w:hyperlink r:id="rId28"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</w:rPr>
          <w:t>761/07</w:t>
        </w:r>
      </w:hyperlink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–</w:t>
      </w:r>
      <w:r>
        <w:rPr>
          <w:rFonts w:ascii="Arial TUR;Arial" w:hAnsi="Arial TUR;Arial" w:cs="Arial TUR;Arial"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rtl w:val="true"/>
        </w:rPr>
        <w:t>[</w:t>
      </w:r>
      <w:r>
        <w:rPr>
          <w:rFonts w:cs="Arial TUR;Arial" w:ascii="Arial TUR;Arial" w:hAnsi="Arial TUR;Arial"/>
          <w:spacing w:val="10"/>
          <w:rtl w:val="true"/>
        </w:rPr>
        <w:t>(</w:t>
      </w:r>
      <w:r>
        <w:rPr>
          <w:rFonts w:ascii="Arial TUR;Arial" w:hAnsi="Arial TUR;Arial" w:cs="Arial TUR;Arial"/>
          <w:spacing w:val="10"/>
          <w:rtl w:val="true"/>
        </w:rPr>
        <w:t xml:space="preserve">ניתן ביום </w:t>
      </w:r>
      <w:r>
        <w:rPr>
          <w:rFonts w:cs="Arial TUR;Arial" w:ascii="Arial TUR;Arial" w:hAnsi="Arial TUR;Arial"/>
          <w:spacing w:val="10"/>
        </w:rPr>
        <w:t>22.2.07</w:t>
      </w:r>
      <w:r>
        <w:rPr>
          <w:rFonts w:cs="Arial TUR;Arial" w:ascii="Arial TUR;Arial" w:hAnsi="Arial TUR;Arial"/>
          <w:spacing w:val="10"/>
          <w:rtl w:val="true"/>
        </w:rPr>
        <w:t>) (</w:t>
      </w:r>
      <w:r>
        <w:rPr>
          <w:rFonts w:ascii="Arial TUR;Arial" w:hAnsi="Arial TUR;Arial" w:cs="Arial TUR;Arial"/>
          <w:spacing w:val="10"/>
          <w:rtl w:val="true"/>
        </w:rPr>
        <w:t>להלן</w:t>
      </w:r>
      <w:r>
        <w:rPr>
          <w:rFonts w:cs="Arial TUR;Arial" w:ascii="Arial TUR;Arial" w:hAnsi="Arial TUR;Arial"/>
          <w:spacing w:val="10"/>
          <w:rtl w:val="true"/>
        </w:rPr>
        <w:t>: 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אדרי</w:t>
      </w:r>
      <w:r>
        <w:rPr>
          <w:rFonts w:cs="Arial TUR;Arial" w:ascii="Arial TUR;Arial" w:hAnsi="Arial TUR;Arial"/>
          <w:spacing w:val="10"/>
          <w:rtl w:val="true"/>
        </w:rPr>
        <w:t>")</w:t>
      </w:r>
      <w:r>
        <w:rPr>
          <w:rFonts w:cs="Arial TUR;Arial" w:ascii="Arial TUR;Arial" w:hAnsi="Arial TUR;Arial"/>
          <w:spacing w:val="10"/>
          <w:rtl w:val="true"/>
        </w:rPr>
        <w:t xml:space="preserve">], </w:t>
      </w:r>
      <w:r>
        <w:rPr>
          <w:rFonts w:ascii="Arial TUR;Arial" w:hAnsi="Arial TUR;Arial" w:cs="Arial TUR;Arial"/>
          <w:spacing w:val="10"/>
          <w:rtl w:val="true"/>
        </w:rPr>
        <w:t>שם נאמר</w:t>
      </w:r>
      <w:r>
        <w:rPr>
          <w:rFonts w:cs="Arial TUR;Arial" w:ascii="Arial TUR;Arial" w:hAnsi="Arial TUR;Arial"/>
          <w:spacing w:val="10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ולעתים נעשה בו שימוש למטרות פליליות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ואלה גם אלה כבר גרמו לא אחת לאובדן חיי אדם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ולפגיעה בחפים מפשע שכל </w:t>
      </w:r>
      <w:r>
        <w:rPr>
          <w:rFonts w:cs="Arial TUR;Arial" w:ascii="Arial TUR;Arial" w:hAnsi="Arial TUR;Arial"/>
          <w:b/>
          <w:bCs/>
          <w:spacing w:val="10"/>
          <w:rtl w:val="true"/>
        </w:rPr>
        <w:t>'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חטאם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'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נבע מכך שהם נקלעו בדרך מקרה לזירת הפשע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כדי להלחם בכל אלה צריך העונש לבטא את סלידתה של החברה ודעתה הנחרצת שלא להשלים עם עבריינות בכלל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ומסוג זה בפרט</w:t>
      </w:r>
      <w:r>
        <w:rPr>
          <w:rFonts w:cs="Arial TUR;Arial" w:ascii="Arial TUR;Arial" w:hAnsi="Arial TUR;Arial"/>
          <w:spacing w:val="10"/>
          <w:rtl w:val="true"/>
        </w:rPr>
        <w:t xml:space="preserve">"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spacing w:val="10"/>
        </w:rPr>
      </w:pPr>
      <w:r>
        <w:rPr>
          <w:rFonts w:cs="Calibri" w:ascii="Calibri" w:hAnsi="Calibri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71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במקרים המתאימים 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4862/11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פלוני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9.1.12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ההדוק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29.10.14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ברק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ארז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שהנאשמים שבפני לא הואשמו 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מכאן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</w:t>
      </w:r>
      <w:r>
        <w:rPr>
          <w:rFonts w:ascii="Calibri" w:hAnsi="Calibri" w:cs="Calibri"/>
          <w:rtl w:val="true"/>
        </w:rPr>
        <w:t>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המייצר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מייבא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מייצא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לזולתו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בתמורה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בתמורה</w:t>
      </w:r>
      <w:r>
        <w:rPr>
          <w:rFonts w:cs="Calibri" w:ascii="Calibri" w:hAnsi="Calibri"/>
          <w:b/>
          <w:bCs/>
          <w:rtl w:val="true"/>
        </w:rPr>
        <w:t xml:space="preserve">..., </w:t>
      </w:r>
      <w:r>
        <w:rPr>
          <w:rFonts w:ascii="Calibri" w:hAnsi="Calibri" w:cs="Calibri"/>
          <w:b/>
          <w:b/>
          <w:bCs/>
          <w:rtl w:val="true"/>
        </w:rPr>
        <w:t>דינו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 ל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6989/13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25.2.14</w:t>
      </w:r>
      <w:r>
        <w:rPr>
          <w:rFonts w:cs="Calibri" w:ascii="Calibri" w:hAnsi="Calibri"/>
          <w:rtl w:val="true"/>
        </w:rPr>
        <w:t xml:space="preserve">);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- 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וקנין</w:t>
      </w:r>
      <w:r>
        <w:rPr>
          <w:rFonts w:cs="Calibri" w:ascii="Calibri" w:hAnsi="Calibri"/>
          <w:rtl w:val="true"/>
        </w:rPr>
        <w:t>")]</w:t>
      </w:r>
      <w:r>
        <w:rPr>
          <w:rFonts w:cs="Calibri" w:ascii="Calibri" w:hAnsi="Calibri"/>
          <w:rtl w:val="true"/>
        </w:rPr>
        <w:t xml:space="preserve"> 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ממשנהו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יוטעם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שצוטטו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הובלתו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 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לשנתיים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והשוו</w:t>
      </w:r>
      <w:r>
        <w:rPr>
          <w:rFonts w:cs="Calibri" w:ascii="Calibri" w:hAnsi="Calibri"/>
          <w:rtl w:val="true"/>
        </w:rPr>
        <w:t xml:space="preserve">: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5900/15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–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10.5.2016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]</w:t>
      </w:r>
      <w:r>
        <w:rPr>
          <w:rFonts w:cs="Calibri" w:ascii="Calibri" w:hAnsi="Calibri"/>
          <w:rtl w:val="true"/>
        </w:rPr>
        <w:t xml:space="preserve">;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5646/15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תיהוואי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14.2.16</w:t>
      </w:r>
      <w:r>
        <w:rPr>
          <w:rFonts w:cs="Calibri" w:ascii="Calibri" w:hAnsi="Calibri"/>
          <w:rtl w:val="true"/>
        </w:rPr>
        <w:t xml:space="preserve">);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5717/14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גדבאן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2.12.14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2971/10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עזאם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14.4.11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בהגינותה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85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בעניין יאסין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ערעור המדינה על קולת העונש והעמיד את עונשו של המשיב שסחר בנשק בשלושה אירועים  על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תחת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ואת עונשו של המשיב </w:t>
      </w:r>
      <w:r>
        <w:rPr>
          <w:rFonts w:ascii="Arial" w:hAnsi="Arial" w:cs="Arial"/>
          <w:rtl w:val="true"/>
        </w:rPr>
        <w:t xml:space="preserve">השני </w:t>
      </w:r>
      <w:r>
        <w:rPr>
          <w:rFonts w:ascii="Arial" w:hAnsi="Arial" w:cs="Arial"/>
          <w:rtl w:val="true"/>
        </w:rPr>
        <w:t xml:space="preserve">שסחר בנשק בשני אירועים העמיד על </w:t>
      </w: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תחת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וזאת בהתחשב בכך שהעלאת רף הענישה צריכה להיעשות בהדרגה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Calibri" w:ascii="Calibri" w:hAnsi="Calibri"/>
        </w:rPr>
        <w:t>86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</w:rPr>
        <w:t>.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</w:rPr>
        <w:t>.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5995/11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14.10.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הורשע המערער בעבירות של היזק בחומר נפיץ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בעבירות בנשק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החזקה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וכן בעבירות בנשק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נשיאה והובלה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המערער השיג מאדם אחר מטען חבלה מאולתר המורכב מצינור מתכת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 להשליכו על ביתו של המתלונן שהיה נשוי לאחותו וזאת על רקע סכסוך שהתגלע בין המתלונן לבין אשתו שבעקבותיו עזבה את הבית ועברה להתגורר בבית הוריה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המטען שהונח בחזית הבית התפוצץ וגרם נזק לכלי רכב ולמקום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הנאשם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 התקבל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 xml:space="preserve">תחת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וכן נוכח העובדה 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</w:t>
      </w:r>
      <w:r>
        <w:rPr>
          <w:rFonts w:ascii="Calibri" w:hAnsi="Calibri" w:cs="Calibri"/>
          <w:rtl w:val="true"/>
        </w:rPr>
        <w:t xml:space="preserve">ם שהורשעו בעבירות נשק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מכירת רימון הלם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בנוסף הורשע 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 החזקת סם מסוכן וסחר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משפט העליון קבע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5336/13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צדוק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17.11.13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נקבע כי מתחם העונש ההולם בגין עבירות רכישה והחזקה יחד עם עבירות של נשיאה והובלת נשק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2606/13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.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.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Arial TUR;Arial" w:hAnsi="Arial TUR;Arial" w:cs="Arial TUR;Arial"/>
          <w:spacing w:val="10"/>
          <w:rtl w:val="true"/>
        </w:rPr>
        <w:t xml:space="preserve"> על פי הודאתו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>בעבירות של החזקת נשק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שתי עבירות של סחר בנשק ועבירה של סיוע לסחר בנשק </w:t>
      </w:r>
      <w:r>
        <w:rPr>
          <w:rFonts w:ascii="Calibri" w:hAnsi="Calibri" w:cs="Calibri"/>
          <w:rtl w:val="true"/>
        </w:rPr>
        <w:t>והוטלו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18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2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אישר בית משפט העליון מתחם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בגין עבירות של נשיאת נשק וסחר בנשק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שנרכשו מהנאשם על יד </w:t>
      </w:r>
      <w:r>
        <w:rPr>
          <w:rFonts w:ascii="Arial" w:hAnsi="Arial" w:cs="Arial"/>
          <w:rtl w:val="true"/>
        </w:rPr>
        <w:t>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1567/14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7.5.14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ממצוקתו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וההבדלים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7603/13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ריחאני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28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הורשע המערער על פי הודאתו בעבירות של קשירת קשר לסחר בנשק ובסחר בנשק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>סחר בתחמושת – מאות קליעים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בית המשפט המחוזי קבע מתחם ענישה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והטיל על המערער שלחובתו עבר פלילי לא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דחה את הערעור על חומרת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אישר את מתחם הענישה שנקבע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בית משפט המחוזי וקבע כי העונש אינו חורג ממדיניות הענישה ואינו חמור</w:t>
      </w:r>
      <w:r>
        <w:rPr>
          <w:rFonts w:ascii="Arial" w:hAnsi="Arial" w:cs="Arial"/>
          <w:rtl w:val="true"/>
        </w:rPr>
        <w:t xml:space="preserve"> עד למידה המצדיקה התערבות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עיסאוי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8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6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נדחה ערעור על חומרת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וקשירת קשר לביצוע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העליון התייחס למתחם הענישה שנקבע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בית המשפט המחוזי ואשר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בקובעו כי</w:t>
      </w:r>
      <w:r>
        <w:rPr>
          <w:rFonts w:cs="Arial" w:ascii="Arial" w:hAnsi="Arial"/>
          <w:rtl w:val="true"/>
        </w:rPr>
        <w:t>, 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למצער ניתן לומר שמתחם העונש שקבע בית המשפט המחוזי אינו מחמיר ולא מצאנו לפרט מעבר לכך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96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נדחה ערעור על חומרת עונש מאסר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שהוטל על המערער שהורשע על פי הודאתו בשתי עבירות של סחר בנשק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>האחת –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והשנייה – תחמושת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משפט העליון קבע כי העונש אינו חורג ממדיניות הענישה הנהוגה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2406/16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יונגר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29.9.16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ומכריעה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כלפי הבן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ניתן לקבוע כי האחרון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הנפיץ</w:t>
      </w:r>
      <w:r>
        <w:rPr>
          <w:rFonts w:ascii="Calibri" w:hAnsi="Calibri" w:cs="Calibri"/>
          <w:rtl w:val="true"/>
        </w:rPr>
        <w:t xml:space="preserve"> 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נקודה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שעיינתי בפסיקה אליה הפנו הצדדים ובפסיקה נוספת</w:t>
      </w:r>
      <w:r>
        <w:rPr>
          <w:rFonts w:ascii="Arial" w:hAnsi="Arial" w:cs="Arial"/>
          <w:rtl w:val="true"/>
        </w:rPr>
        <w:t xml:space="preserve"> כפי שפורט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פסיקה </w:t>
      </w:r>
      <w:r>
        <w:rPr>
          <w:rFonts w:ascii="Arial" w:hAnsi="Arial" w:cs="Arial"/>
          <w:rtl w:val="true"/>
        </w:rPr>
        <w:t>שעוסקת בעבירות שבוצעו בנסיבות דומות ובהתחשב בין היתר בחומרת העבירות שביצעו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בערכים החברתיים שנפגעו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בנזק שצפוי היה להיגרם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בחלקו של כל אחד מהנאשמים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הנוהגת ובכלל 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סבורני כי </w:t>
      </w:r>
      <w:r>
        <w:rPr>
          <w:rFonts w:ascii="Arial" w:hAnsi="Arial" w:cs="Arial"/>
          <w:u w:val="single"/>
          <w:rtl w:val="true"/>
        </w:rPr>
        <w:t>מתחם העונש</w:t>
      </w:r>
      <w:r>
        <w:rPr>
          <w:rFonts w:ascii="Arial" w:hAnsi="Arial" w:cs="Arial"/>
          <w:rtl w:val="true"/>
        </w:rPr>
        <w:t xml:space="preserve"> ההולם בעניינו </w:t>
      </w:r>
      <w:r>
        <w:rPr>
          <w:rFonts w:ascii="Arial" w:hAnsi="Arial" w:cs="Arial"/>
          <w:u w:val="single"/>
          <w:rtl w:val="true"/>
        </w:rPr>
        <w:t xml:space="preserve">של נאשם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נע בין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</w:t>
      </w:r>
      <w:r>
        <w:rPr>
          <w:rFonts w:cs="Arial" w:ascii="Arial" w:hAnsi="Arial"/>
          <w:b/>
          <w:bCs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אינדיווידואלית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ומותאמת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433/89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'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ורג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אטיאס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מידת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170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174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  <w:lang w:eastAsia="he-IL"/>
        </w:rPr>
        <w:t>לכן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לבחון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ונסיבותיו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לרבות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הנסיבות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האישיות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שעומד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לדין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ascii="Calibri" w:hAnsi="Calibri" w:cs="Calibri"/>
          <w:rtl w:val="true"/>
          <w:lang w:eastAsia="he-IL"/>
        </w:rPr>
        <w:t>ראו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3210/06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עמארה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18/03/07</w:t>
      </w:r>
      <w:r>
        <w:rPr>
          <w:rFonts w:cs="Calibri" w:ascii="Calibri" w:hAnsi="Calibri"/>
          <w:rtl w:val="true"/>
          <w:lang w:eastAsia="he-IL"/>
        </w:rPr>
        <w:t>).</w:t>
      </w:r>
    </w:p>
    <w:p>
      <w:pPr>
        <w:pStyle w:val="Normal"/>
        <w:tabs>
          <w:tab w:val="clear" w:pos="720"/>
          <w:tab w:val="left" w:pos="708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tabs>
          <w:tab w:val="clear" w:pos="720"/>
          <w:tab w:val="left" w:pos="708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05" w:start="705" w:end="0"/>
        <w:jc w:val="both"/>
        <w:rPr/>
      </w:pPr>
      <w:r>
        <w:rPr>
          <w:rFonts w:cs="Calibri" w:ascii="Calibri" w:hAnsi="Calibri"/>
        </w:rPr>
        <w:t>101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05" w:start="705" w:end="0"/>
        <w:jc w:val="both"/>
        <w:rPr/>
      </w:pPr>
      <w:r>
        <w:rPr>
          <w:rFonts w:cs="Calibri" w:ascii="Calibri" w:hAnsi="Calibri"/>
        </w:rPr>
        <w:t>102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</w:t>
      </w:r>
      <w:r>
        <w:rPr>
          <w:rFonts w:ascii="Calibri" w:hAnsi="Calibri" w:cs="Calibri"/>
          <w:rtl w:val="true"/>
        </w:rPr>
        <w:t>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בית באזוק אלקטרוני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כשמונה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לקול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את העובדה כי הנאשמים נעדרים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את העובדה כי העבירות המיוחסות לנאשמים בכתב האישום בוצעו בשנת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ואילו כתב האישום הוגש בשנת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 כעבור שנתיים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Calibri" w:ascii="Calibri" w:hAnsi="Calibri"/>
          <w:rtl w:val="true"/>
        </w:rPr>
        <w:t>(-)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לקולה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entury" w:hAnsi="Century" w:cs="Century"/>
          <w:bCs/>
          <w:rtl w:val="true"/>
        </w:rPr>
        <w:t>הנאשם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השתקם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או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כי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סיכוי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של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ממש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שישתקם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להצביע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פוטנציאל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גובה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  <w:rtl w:val="true"/>
        </w:rPr>
        <w:t>(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1903/13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עיאשה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נ</w:t>
      </w:r>
      <w:r>
        <w:rPr>
          <w:rFonts w:cs="Century" w:ascii="Century" w:hAnsi="Century"/>
          <w:bCs/>
          <w:rtl w:val="true"/>
        </w:rPr>
        <w:t xml:space="preserve">' </w:t>
      </w:r>
      <w:r>
        <w:rPr>
          <w:rFonts w:ascii="Century" w:hAnsi="Century" w:cs="Century"/>
          <w:bCs/>
          <w:rtl w:val="true"/>
        </w:rPr>
        <w:t>מדינת</w:t>
      </w:r>
      <w:r>
        <w:rPr>
          <w:rFonts w:ascii="Century" w:hAnsi="Century" w:cs="Century"/>
          <w:bCs/>
          <w:rtl w:val="true"/>
        </w:rPr>
        <w:t xml:space="preserve"> </w:t>
      </w:r>
      <w:r>
        <w:rPr>
          <w:rFonts w:ascii="Century" w:hAnsi="Century" w:cs="Century"/>
          <w:bCs/>
          <w:rtl w:val="true"/>
        </w:rPr>
        <w:t>ישראל</w:t>
      </w:r>
      <w:r>
        <w:rPr>
          <w:rFonts w:ascii="Century" w:hAnsi="Century" w:cs="Century"/>
          <w:b/>
          <w:b/>
          <w:rtl w:val="true"/>
        </w:rPr>
        <w:t xml:space="preserve"> </w:t>
      </w:r>
      <w:r>
        <w:rPr>
          <w:rFonts w:cs="Century" w:ascii="Century" w:hAnsi="Century"/>
          <w:b/>
          <w:rtl w:val="true"/>
        </w:rPr>
        <w:t>[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b/>
          <w:rtl w:val="true"/>
        </w:rPr>
        <w:t xml:space="preserve"> </w:t>
      </w:r>
      <w:r>
        <w:rPr>
          <w:rFonts w:cs="Century" w:ascii="Century" w:hAnsi="Century"/>
          <w:b/>
          <w:rtl w:val="true"/>
        </w:rPr>
        <w:t xml:space="preserve">-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14.7.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–</w:t>
      </w:r>
      <w:r>
        <w:rPr>
          <w:rFonts w:ascii="Calibri" w:hAnsi="Calibri" w:cs="Calibri"/>
          <w:rtl w:val="true"/>
        </w:rPr>
        <w:t xml:space="preserve">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ומכריעה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כל הפרשה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ניסה ל</w:t>
      </w:r>
      <w:r>
        <w:rPr>
          <w:rFonts w:ascii="Calibri" w:hAnsi="Calibri" w:cs="Calibri"/>
          <w:rtl w:val="true"/>
        </w:rPr>
        <w:t>הכין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החפץ </w:t>
      </w:r>
      <w:r>
        <w:rPr>
          <w:rFonts w:ascii="Calibri" w:hAnsi="Calibri" w:cs="Calibri"/>
          <w:rtl w:val="true"/>
        </w:rPr>
        <w:t>הנפיץ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והוא זה </w:t>
      </w:r>
      <w:r>
        <w:rPr>
          <w:rFonts w:ascii="Calibri" w:hAnsi="Calibri" w:cs="Calibri"/>
          <w:rtl w:val="true"/>
        </w:rPr>
        <w:t>שצפה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בסרטונים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הגם ש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תסקיר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וקוגניטיביות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וכוחניים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תרגומו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תלונה</w:t>
      </w:r>
      <w:r>
        <w:rPr>
          <w:rFonts w:ascii="Calibri" w:hAnsi="Calibri" w:cs="Calibri"/>
          <w:rtl w:val="true"/>
        </w:rPr>
        <w:t xml:space="preserve"> נגד אמל בעקבות תקיפתו ותקיפת 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 אחד מ</w:t>
      </w:r>
      <w:r>
        <w:rPr>
          <w:rFonts w:ascii="Calibri" w:hAnsi="Calibri" w:cs="Calibri"/>
          <w:rtl w:val="true"/>
        </w:rPr>
        <w:t>הנאש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662" w:end="0"/>
        <w:jc w:val="start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firstLine="46" w:start="662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17.4.16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275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32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32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08" w:end="0"/>
        <w:jc w:val="start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32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17.4.16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32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32" w:start="144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יחתום על התחייבות להימנע מעבירה שהיא פשע על סך </w:t>
      </w:r>
      <w:r>
        <w:rPr>
          <w:rFonts w:cs="Calibri" w:ascii="Calibri" w:hAnsi="Calibri"/>
        </w:rPr>
        <w:t>10.000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יחתום על התחייבות כזו על סך </w:t>
      </w:r>
      <w:r>
        <w:rPr>
          <w:rFonts w:cs="Calibri" w:ascii="Calibri" w:hAnsi="Calibri"/>
        </w:rPr>
        <w:t>5000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 למשך שנה מתום ריצוי עונשם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לבית משפט 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הודעה לנאשמים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הנאשמים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בא כוח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מחמד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בארין ממשרד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עאדל בויראת ובא כוח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מרים כנעאן ממשרד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עלאא עתאמנה  ובא כוח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אילנה קוזמינר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61452-02-16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אלד אבו רעד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3543" w:hanging="915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  <w:b w:val="false"/>
      <w:bCs/>
      <w:sz w:val="2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David"/>
      <w:b w:val="false"/>
      <w:bCs w:val="false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4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5;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7954235" TargetMode="External"/><Relationship Id="rId21" Type="http://schemas.openxmlformats.org/officeDocument/2006/relationships/hyperlink" Target="http://www.nevo.co.il/case/5568354" TargetMode="External"/><Relationship Id="rId22" Type="http://schemas.openxmlformats.org/officeDocument/2006/relationships/hyperlink" Target="http://www.nevo.co.il/case/5703734" TargetMode="External"/><Relationship Id="rId23" Type="http://schemas.openxmlformats.org/officeDocument/2006/relationships/hyperlink" Target="http://www.nevo.co.il/case/5578618" TargetMode="External"/><Relationship Id="rId24" Type="http://schemas.openxmlformats.org/officeDocument/2006/relationships/hyperlink" Target="http://www.nevo.co.il/case/6054579" TargetMode="External"/><Relationship Id="rId25" Type="http://schemas.openxmlformats.org/officeDocument/2006/relationships/hyperlink" Target="http://www.nevo.co.il/case/5699080" TargetMode="External"/><Relationship Id="rId26" Type="http://schemas.openxmlformats.org/officeDocument/2006/relationships/hyperlink" Target="http://www.nevo.co.il/case/8471804" TargetMode="External"/><Relationship Id="rId27" Type="http://schemas.openxmlformats.org/officeDocument/2006/relationships/hyperlink" Target="http://www.nevo.co.il/case/6008999" TargetMode="External"/><Relationship Id="rId28" Type="http://schemas.openxmlformats.org/officeDocument/2006/relationships/hyperlink" Target="http://www.nevo.co.il/case/572436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c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3093721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8291683" TargetMode="External"/><Relationship Id="rId36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case/21472954" TargetMode="External"/><Relationship Id="rId38" Type="http://schemas.openxmlformats.org/officeDocument/2006/relationships/hyperlink" Target="http://www.nevo.co.il/case/20531134" TargetMode="External"/><Relationship Id="rId39" Type="http://schemas.openxmlformats.org/officeDocument/2006/relationships/hyperlink" Target="http://www.nevo.co.il/case/13090914" TargetMode="External"/><Relationship Id="rId40" Type="http://schemas.openxmlformats.org/officeDocument/2006/relationships/hyperlink" Target="http://www.nevo.co.il/case/17948201" TargetMode="External"/><Relationship Id="rId41" Type="http://schemas.openxmlformats.org/officeDocument/2006/relationships/hyperlink" Target="http://www.nevo.co.il/case/5868443" TargetMode="External"/><Relationship Id="rId42" Type="http://schemas.openxmlformats.org/officeDocument/2006/relationships/hyperlink" Target="http://www.nevo.co.il/case/5692319" TargetMode="External"/><Relationship Id="rId43" Type="http://schemas.openxmlformats.org/officeDocument/2006/relationships/hyperlink" Target="http://www.nevo.co.il/case/6043688" TargetMode="External"/><Relationship Id="rId44" Type="http://schemas.openxmlformats.org/officeDocument/2006/relationships/hyperlink" Target="http://www.nevo.co.il/case/6473037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7821883" TargetMode="External"/><Relationship Id="rId47" Type="http://schemas.openxmlformats.org/officeDocument/2006/relationships/hyperlink" Target="http://www.nevo.co.il/case/7791493" TargetMode="External"/><Relationship Id="rId48" Type="http://schemas.openxmlformats.org/officeDocument/2006/relationships/hyperlink" Target="http://www.nevo.co.il/case/6882160" TargetMode="External"/><Relationship Id="rId49" Type="http://schemas.openxmlformats.org/officeDocument/2006/relationships/hyperlink" Target="http://www.nevo.co.il/case/11309005" TargetMode="External"/><Relationship Id="rId50" Type="http://schemas.openxmlformats.org/officeDocument/2006/relationships/hyperlink" Target="http://www.nevo.co.il/case/16916801" TargetMode="External"/><Relationship Id="rId51" Type="http://schemas.openxmlformats.org/officeDocument/2006/relationships/hyperlink" Target="http://www.nevo.co.il/case/10442297" TargetMode="External"/><Relationship Id="rId52" Type="http://schemas.openxmlformats.org/officeDocument/2006/relationships/hyperlink" Target="http://www.nevo.co.il/case/7791489" TargetMode="External"/><Relationship Id="rId53" Type="http://schemas.openxmlformats.org/officeDocument/2006/relationships/hyperlink" Target="http://www.nevo.co.il/case/13023134" TargetMode="External"/><Relationship Id="rId54" Type="http://schemas.openxmlformats.org/officeDocument/2006/relationships/hyperlink" Target="http://www.nevo.co.il/case/21055840" TargetMode="External"/><Relationship Id="rId55" Type="http://schemas.openxmlformats.org/officeDocument/2006/relationships/hyperlink" Target="http://www.nevo.co.il/case/17941073" TargetMode="External"/><Relationship Id="rId56" Type="http://schemas.openxmlformats.org/officeDocument/2006/relationships/hyperlink" Target="http://www.nevo.co.il/case/5882592" TargetMode="External"/><Relationship Id="rId57" Type="http://schemas.openxmlformats.org/officeDocument/2006/relationships/hyperlink" Target="http://www.nevo.co.il/law/70301/40d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6824952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2017-01-23T13:17:00Z</dcterms:created>
  <dc:creator> </dc:creator>
  <dc:description/>
  <cp:keywords/>
  <dc:language>en-IL</dc:language>
  <cp:lastModifiedBy>hofit</cp:lastModifiedBy>
  <dcterms:modified xsi:type="dcterms:W3CDTF">2017-01-23T13:17:00Z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ח'אלד אבו רעד;חודיפה אבו רעד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ProcID=133;209&amp;PartA=4862&amp;PartC=11</vt:lpwstr>
  </property>
  <property fmtid="{D5CDD505-2E9C-101B-9397-08002B2CF9AE}" pid="9" name="CASESLISTTMP1">
    <vt:lpwstr>17954235;5568354;5703734;5578618;6054579;5699080;8471804;6008999;5724364;13093721;8291683;21472954;20531134;13090914;17948201;5868443;5692319;6043688;6473037;7821883;7791493;6882160;11309005;16916801;10442297;7791489;13023134;21055840;17941073;5882592</vt:lpwstr>
  </property>
  <property fmtid="{D5CDD505-2E9C-101B-9397-08002B2CF9AE}" pid="10" name="CASESLISTTMP2">
    <vt:lpwstr>6824952</vt:lpwstr>
  </property>
  <property fmtid="{D5CDD505-2E9C-101B-9397-08002B2CF9AE}" pid="11" name="CITY">
    <vt:lpwstr>חי'</vt:lpwstr>
  </property>
  <property fmtid="{D5CDD505-2E9C-101B-9397-08002B2CF9AE}" pid="12" name="DATE">
    <vt:lpwstr>20170118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כמאל סעב</vt:lpwstr>
  </property>
  <property fmtid="{D5CDD505-2E9C-101B-9397-08002B2CF9AE}" pid="16" name="LAWLISTTMP1">
    <vt:lpwstr>70301/144.b2:2;025;029;144.a:2;144.b;40jc.a;144;040d</vt:lpwstr>
  </property>
  <property fmtid="{D5CDD505-2E9C-101B-9397-08002B2CF9AE}" pid="17" name="LAWYER">
    <vt:lpwstr>ערן בר;עאדל בויראת;עלא עתאמנה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61452</vt:lpwstr>
  </property>
  <property fmtid="{D5CDD505-2E9C-101B-9397-08002B2CF9AE}" pid="24" name="NEWPARTB">
    <vt:lpwstr>02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390020170118</vt:lpwstr>
  </property>
  <property fmtid="{D5CDD505-2E9C-101B-9397-08002B2CF9AE}" pid="36" name="TYPE_N_DATE">
    <vt:lpwstr>39020170118</vt:lpwstr>
  </property>
  <property fmtid="{D5CDD505-2E9C-101B-9397-08002B2CF9AE}" pid="37" name="VOLUME">
    <vt:lpwstr/>
  </property>
  <property fmtid="{D5CDD505-2E9C-101B-9397-08002B2CF9AE}" pid="38" name="WORDNUMPAGES">
    <vt:lpwstr>20</vt:lpwstr>
  </property>
</Properties>
</file>