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612" w:type="dxa"/>
        <w:jc w:val="center"/>
        <w:tblInd w:w="0" w:type="dxa"/>
        <w:tblLayout w:type="fixed"/>
        <w:tblCellMar>
          <w:top w:w="0" w:type="dxa"/>
          <w:start w:w="108" w:type="dxa"/>
          <w:bottom w:w="0" w:type="dxa"/>
          <w:end w:w="108" w:type="dxa"/>
        </w:tblCellMar>
      </w:tblPr>
      <w:tblGrid>
        <w:gridCol w:w="1812"/>
        <w:gridCol w:w="419"/>
        <w:gridCol w:w="973"/>
        <w:gridCol w:w="506"/>
        <w:gridCol w:w="4902"/>
      </w:tblGrid>
      <w:tr>
        <w:trPr>
          <w:trHeight w:val="418" w:hRule="exact"/>
        </w:trPr>
        <w:tc>
          <w:tcPr>
            <w:tcW w:w="3710" w:type="dxa"/>
            <w:gridSpan w:val="4"/>
            <w:tcBorders/>
          </w:tcPr>
          <w:p>
            <w:pPr>
              <w:pStyle w:val="Header"/>
              <w:tabs>
                <w:tab w:val="clear" w:pos="720"/>
              </w:tabs>
              <w:ind w:end="0"/>
              <w:jc w:val="center"/>
              <w:rPr>
                <w:rFonts w:ascii="Tahoma" w:hAnsi="Tahoma" w:cs="Tahoma"/>
                <w:b/>
                <w:bCs/>
                <w:color w:val="000080"/>
                <w:sz w:val="20"/>
                <w:szCs w:val="20"/>
              </w:rPr>
            </w:pPr>
            <w:bookmarkStart w:id="0" w:name="LastJudge"/>
            <w:bookmarkEnd w:id="0"/>
            <w:r>
              <w:rPr>
                <w:vanish/>
                <w:highlight w:val="yellow"/>
                <w:rtl w:val="true"/>
              </w:rPr>
              <w:t>&lt;</w:t>
            </w:r>
            <w:r>
              <w:rPr>
                <w:rFonts w:ascii="Tahoma" w:hAnsi="Tahoma" w:cs="Tahoma"/>
                <w:b/>
                <w:b/>
                <w:bCs/>
                <w:color w:val="000080"/>
                <w:sz w:val="20"/>
                <w:sz w:val="20"/>
                <w:szCs w:val="20"/>
                <w:rtl w:val="true"/>
              </w:rPr>
              <w:t>בית המשפט המחוזי בחיפה</w:t>
            </w:r>
            <w:r>
              <w:rPr>
                <w:vanish/>
                <w:highlight w:val="yellow"/>
                <w:rtl w:val="true"/>
              </w:rPr>
              <w:t>&gt;</w:t>
            </w:r>
          </w:p>
        </w:tc>
        <w:tc>
          <w:tcPr>
            <w:tcW w:w="4902" w:type="dxa"/>
            <w:tcBorders/>
            <w:tcMar>
              <w:start w:w="0" w:type="dxa"/>
              <w:end w:w="0" w:type="dxa"/>
            </w:tcMar>
          </w:tcPr>
          <w:p>
            <w:pPr>
              <w:pStyle w:val="Normal"/>
              <w:snapToGrid w:val="false"/>
              <w:rPr>
                <w:rFonts w:ascii="Tahoma" w:hAnsi="Tahoma" w:cs="Tahoma"/>
                <w:b/>
                <w:bCs/>
                <w:color w:val="000080"/>
                <w:sz w:val="20"/>
                <w:szCs w:val="20"/>
              </w:rPr>
            </w:pPr>
            <w:r>
              <w:rPr>
                <w:rFonts w:cs="Tahoma" w:ascii="Tahoma" w:hAnsi="Tahoma"/>
                <w:b/>
                <w:bCs/>
                <w:color w:val="000080"/>
                <w:sz w:val="20"/>
                <w:szCs w:val="20"/>
                <w:rtl w:val="true"/>
              </w:rPr>
            </w:r>
          </w:p>
        </w:tc>
      </w:tr>
      <w:tr>
        <w:trPr>
          <w:trHeight w:val="337" w:hRule="atLeast"/>
        </w:trPr>
        <w:tc>
          <w:tcPr>
            <w:tcW w:w="1812" w:type="dxa"/>
            <w:tcBorders/>
          </w:tcPr>
          <w:p>
            <w:pPr>
              <w:pStyle w:val="Normal"/>
              <w:ind w:end="0"/>
              <w:jc w:val="start"/>
              <w:rPr>
                <w:b/>
                <w:bCs/>
                <w:sz w:val="26"/>
                <w:szCs w:val="26"/>
              </w:rPr>
            </w:pPr>
            <w:r>
              <w:rPr>
                <w:vanish/>
                <w:highlight w:val="yellow"/>
                <w:rtl w:val="true"/>
              </w:rPr>
              <w:t>&lt;&lt;</w:t>
            </w:r>
            <w:r>
              <w:rPr>
                <w:b/>
                <w:b/>
                <w:bCs/>
                <w:sz w:val="26"/>
                <w:sz w:val="26"/>
                <w:szCs w:val="26"/>
                <w:rtl w:val="true"/>
              </w:rPr>
              <w:t>ת</w:t>
            </w:r>
            <w:r>
              <w:rPr>
                <w:b/>
                <w:bCs/>
                <w:sz w:val="26"/>
                <w:szCs w:val="26"/>
                <w:rtl w:val="true"/>
              </w:rPr>
              <w:t>"</w:t>
            </w:r>
            <w:r>
              <w:rPr>
                <w:b/>
                <w:b/>
                <w:bCs/>
                <w:sz w:val="26"/>
                <w:sz w:val="26"/>
                <w:szCs w:val="26"/>
                <w:rtl w:val="true"/>
              </w:rPr>
              <w:t>פ</w:t>
            </w:r>
            <w:r>
              <w:rPr>
                <w:vanish/>
                <w:highlight w:val="yellow"/>
                <w:rtl w:val="true"/>
              </w:rPr>
              <w:t>&gt;</w:t>
            </w:r>
            <w:r>
              <w:rPr>
                <w:b/>
                <w:bCs/>
                <w:sz w:val="26"/>
                <w:szCs w:val="26"/>
                <w:rtl w:val="true"/>
              </w:rPr>
              <w:t xml:space="preserve"> </w:t>
            </w:r>
            <w:r>
              <w:rPr>
                <w:vanish/>
                <w:highlight w:val="yellow"/>
                <w:rtl w:val="true"/>
              </w:rPr>
              <w:t>&lt;</w:t>
            </w:r>
            <w:r>
              <w:rPr>
                <w:b/>
                <w:bCs/>
                <w:sz w:val="26"/>
                <w:szCs w:val="26"/>
              </w:rPr>
              <w:t>6186-07</w:t>
            </w:r>
            <w:r>
              <w:rPr>
                <w:vanish/>
                <w:highlight w:val="yellow"/>
                <w:rtl w:val="true"/>
              </w:rPr>
              <w:t>&gt;</w:t>
            </w:r>
            <w:r>
              <w:rPr>
                <w:b/>
                <w:bCs/>
                <w:sz w:val="26"/>
                <w:szCs w:val="26"/>
                <w:rtl w:val="true"/>
              </w:rPr>
              <w:t xml:space="preserve"> </w:t>
            </w:r>
            <w:r>
              <w:rPr>
                <w:vanish/>
                <w:highlight w:val="yellow"/>
                <w:rtl w:val="true"/>
              </w:rPr>
              <w:t>&lt;</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פרקליטות מחוז חיפה</w:t>
            </w:r>
            <w:r>
              <w:rPr>
                <w:b/>
                <w:bCs/>
                <w:sz w:val="26"/>
                <w:szCs w:val="26"/>
                <w:rtl w:val="true"/>
              </w:rPr>
              <w:t>-</w:t>
            </w:r>
            <w:r>
              <w:rPr>
                <w:b/>
                <w:b/>
                <w:bCs/>
                <w:sz w:val="26"/>
                <w:sz w:val="26"/>
                <w:szCs w:val="26"/>
                <w:rtl w:val="true"/>
              </w:rPr>
              <w:t>פלילי נ</w:t>
            </w:r>
            <w:r>
              <w:rPr>
                <w:b/>
                <w:bCs/>
                <w:sz w:val="26"/>
                <w:szCs w:val="26"/>
                <w:rtl w:val="true"/>
              </w:rPr>
              <w:t xml:space="preserve">' </w:t>
            </w:r>
            <w:r>
              <w:rPr>
                <w:b/>
                <w:b/>
                <w:bCs/>
                <w:sz w:val="26"/>
                <w:sz w:val="26"/>
                <w:szCs w:val="26"/>
                <w:rtl w:val="true"/>
              </w:rPr>
              <w:t>קשאש</w:t>
            </w:r>
            <w:r>
              <w:rPr>
                <w:vanish/>
                <w:highlight w:val="yellow"/>
                <w:rtl w:val="true"/>
              </w:rPr>
              <w:t>&gt;&gt;</w:t>
            </w:r>
          </w:p>
          <w:p>
            <w:pPr>
              <w:pStyle w:val="Normal"/>
              <w:ind w:end="0"/>
              <w:jc w:val="start"/>
              <w:rPr>
                <w:b/>
                <w:bCs/>
                <w:sz w:val="26"/>
                <w:szCs w:val="26"/>
              </w:rPr>
            </w:pPr>
            <w:r>
              <w:rPr>
                <w:b/>
                <w:bCs/>
                <w:sz w:val="26"/>
                <w:szCs w:val="26"/>
                <w:rtl w:val="true"/>
              </w:rPr>
            </w:r>
          </w:p>
        </w:tc>
        <w:tc>
          <w:tcPr>
            <w:tcW w:w="419" w:type="dxa"/>
            <w:tcBorders/>
          </w:tcPr>
          <w:p>
            <w:pPr>
              <w:pStyle w:val="Header"/>
              <w:snapToGrid w:val="false"/>
              <w:ind w:end="0"/>
              <w:jc w:val="end"/>
              <w:rPr>
                <w:b/>
                <w:bCs/>
                <w:sz w:val="26"/>
                <w:szCs w:val="26"/>
              </w:rPr>
            </w:pPr>
            <w:r>
              <w:rPr>
                <w:b/>
                <w:bCs/>
                <w:sz w:val="26"/>
                <w:szCs w:val="26"/>
                <w:rtl w:val="true"/>
              </w:rPr>
            </w:r>
          </w:p>
        </w:tc>
        <w:tc>
          <w:tcPr>
            <w:tcW w:w="1479" w:type="dxa"/>
            <w:gridSpan w:val="2"/>
            <w:tcBorders/>
          </w:tcPr>
          <w:p>
            <w:pPr>
              <w:pStyle w:val="Header"/>
              <w:tabs>
                <w:tab w:val="clear" w:pos="720"/>
              </w:tabs>
              <w:ind w:end="0"/>
              <w:jc w:val="end"/>
              <w:rPr>
                <w:b/>
                <w:bCs/>
                <w:sz w:val="26"/>
                <w:szCs w:val="26"/>
              </w:rPr>
            </w:pPr>
            <w:r>
              <w:rPr>
                <w:vanish/>
                <w:highlight w:val="yellow"/>
                <w:rtl w:val="true"/>
              </w:rPr>
              <w:t>&lt;</w:t>
            </w:r>
            <w:r>
              <w:rPr>
                <w:b/>
                <w:bCs/>
                <w:sz w:val="26"/>
                <w:szCs w:val="26"/>
              </w:rPr>
              <w:t>01</w:t>
            </w:r>
            <w:r>
              <w:rPr>
                <w:b/>
                <w:bCs/>
                <w:sz w:val="26"/>
                <w:szCs w:val="26"/>
                <w:rtl w:val="true"/>
              </w:rPr>
              <w:t xml:space="preserve"> </w:t>
            </w:r>
            <w:r>
              <w:rPr>
                <w:b/>
                <w:b/>
                <w:bCs/>
                <w:sz w:val="26"/>
                <w:sz w:val="26"/>
                <w:szCs w:val="26"/>
                <w:rtl w:val="true"/>
              </w:rPr>
              <w:t xml:space="preserve">דצמבר </w:t>
            </w:r>
            <w:r>
              <w:rPr>
                <w:b/>
                <w:bCs/>
                <w:sz w:val="26"/>
                <w:szCs w:val="26"/>
              </w:rPr>
              <w:t>2008</w:t>
            </w:r>
            <w:r>
              <w:rPr>
                <w:vanish/>
                <w:highlight w:val="yellow"/>
                <w:rtl w:val="true"/>
              </w:rPr>
              <w:t>&gt;</w:t>
            </w:r>
          </w:p>
        </w:tc>
        <w:tc>
          <w:tcPr>
            <w:tcW w:w="4902" w:type="dxa"/>
            <w:tcBorders/>
            <w:tcMar>
              <w:start w:w="0" w:type="dxa"/>
              <w:end w:w="0" w:type="dxa"/>
            </w:tcMar>
          </w:tcPr>
          <w:p>
            <w:pPr>
              <w:pStyle w:val="Normal"/>
              <w:snapToGrid w:val="false"/>
              <w:rPr>
                <w:b/>
                <w:bCs/>
                <w:sz w:val="26"/>
                <w:szCs w:val="26"/>
              </w:rPr>
            </w:pPr>
            <w:r>
              <w:rPr>
                <w:b/>
                <w:bCs/>
                <w:sz w:val="26"/>
                <w:szCs w:val="26"/>
                <w:rtl w:val="true"/>
              </w:rPr>
            </w:r>
          </w:p>
        </w:tc>
      </w:tr>
      <w:tr>
        <w:trPr/>
        <w:tc>
          <w:tcPr>
            <w:tcW w:w="3204" w:type="dxa"/>
            <w:gridSpan w:val="3"/>
            <w:tcBorders/>
          </w:tcPr>
          <w:p>
            <w:pPr>
              <w:pStyle w:val="Normal"/>
              <w:snapToGrid w:val="false"/>
              <w:spacing w:lineRule="auto" w:line="360"/>
              <w:ind w:start="26" w:end="0"/>
              <w:jc w:val="end"/>
              <w:rPr>
                <w:rFonts w:ascii="Times New Roman" w:hAnsi="Times New Roman" w:eastAsia="Times New Roman" w:cs="Times New Roman"/>
                <w:b/>
                <w:bCs/>
                <w:sz w:val="26"/>
                <w:szCs w:val="26"/>
              </w:rPr>
            </w:pPr>
            <w:r>
              <w:rPr>
                <w:rFonts w:eastAsia="Times New Roman" w:cs="Times New Roman" w:ascii="Times New Roman" w:hAnsi="Times New Roman"/>
                <w:b/>
                <w:bCs/>
                <w:sz w:val="26"/>
                <w:szCs w:val="26"/>
                <w:rtl w:val="true"/>
              </w:rPr>
            </w:r>
            <w:bookmarkStart w:id="1" w:name="FirstAppellant"/>
            <w:bookmarkStart w:id="2" w:name="FirstAppellant"/>
            <w:bookmarkEnd w:id="2"/>
          </w:p>
          <w:p>
            <w:pPr>
              <w:pStyle w:val="Normal"/>
              <w:spacing w:lineRule="auto" w:line="360"/>
              <w:ind w:start="26" w:end="0"/>
              <w:jc w:val="end"/>
              <w:rPr>
                <w:rFonts w:ascii="Times New Roman" w:hAnsi="Times New Roman" w:eastAsia="Times New Roman" w:cs="Times New Roman"/>
                <w:b/>
                <w:bCs/>
                <w:sz w:val="26"/>
                <w:szCs w:val="26"/>
              </w:rPr>
            </w:pPr>
            <w:r>
              <w:rPr>
                <w:rFonts w:eastAsia="Times New Roman" w:cs="Times New Roman" w:ascii="Times New Roman" w:hAnsi="Times New Roman"/>
                <w:b/>
                <w:bCs/>
                <w:sz w:val="26"/>
                <w:szCs w:val="26"/>
                <w:rtl w:val="true"/>
              </w:rPr>
            </w:r>
          </w:p>
          <w:p>
            <w:pPr>
              <w:pStyle w:val="Normal"/>
              <w:spacing w:lineRule="auto" w:line="360"/>
              <w:ind w:start="26" w:end="0"/>
              <w:jc w:val="start"/>
              <w:rPr>
                <w:rFonts w:ascii="Times New Roman" w:hAnsi="Times New Roman" w:eastAsia="Times New Roman" w:cs="Times New Roman"/>
                <w:b/>
                <w:bCs/>
                <w:sz w:val="26"/>
                <w:szCs w:val="26"/>
              </w:rPr>
            </w:pPr>
            <w:r>
              <w:rPr>
                <w:rFonts w:ascii="Times New Roman" w:hAnsi="Times New Roman" w:eastAsia="Times New Roman" w:cs="Times New Roman"/>
                <w:b/>
                <w:b/>
                <w:bCs/>
                <w:sz w:val="26"/>
                <w:sz w:val="26"/>
                <w:szCs w:val="26"/>
                <w:rtl w:val="true"/>
              </w:rPr>
              <w:t>ה</w:t>
            </w:r>
            <w:r>
              <w:rPr>
                <w:rFonts w:eastAsia="Times New Roman" w:cs="Times New Roman" w:ascii="Times New Roman" w:hAnsi="Times New Roman"/>
                <w:vanish/>
                <w:highlight w:val="yellow"/>
                <w:rtl w:val="true"/>
              </w:rPr>
              <w:t>&lt;</w:t>
            </w:r>
            <w:r>
              <w:rPr>
                <w:rFonts w:ascii="Times New Roman" w:hAnsi="Times New Roman" w:eastAsia="Times New Roman" w:cs="Times New Roman"/>
                <w:b/>
                <w:b/>
                <w:bCs/>
                <w:sz w:val="26"/>
                <w:sz w:val="26"/>
                <w:szCs w:val="26"/>
                <w:rtl w:val="true"/>
              </w:rPr>
              <w:t>מאשימה</w:t>
            </w:r>
            <w:r>
              <w:rPr>
                <w:rFonts w:eastAsia="Times New Roman" w:cs="Times New Roman" w:ascii="Times New Roman" w:hAnsi="Times New Roman"/>
                <w:vanish/>
                <w:highlight w:val="yellow"/>
                <w:rtl w:val="true"/>
              </w:rPr>
              <w:t>&gt;</w:t>
            </w:r>
          </w:p>
        </w:tc>
        <w:tc>
          <w:tcPr>
            <w:tcW w:w="5408" w:type="dxa"/>
            <w:gridSpan w:val="2"/>
            <w:tcBorders/>
          </w:tcPr>
          <w:p>
            <w:pPr>
              <w:pStyle w:val="Normal"/>
              <w:spacing w:lineRule="auto" w:line="360"/>
              <w:ind w:end="0"/>
              <w:jc w:val="start"/>
              <w:rPr>
                <w:rFonts w:ascii="Times New Roman" w:hAnsi="Times New Roman" w:eastAsia="Times New Roman" w:cs="Times New Roman"/>
                <w:b/>
                <w:bCs/>
                <w:sz w:val="26"/>
                <w:szCs w:val="26"/>
              </w:rPr>
            </w:pPr>
            <w:r>
              <w:rPr>
                <w:rFonts w:eastAsia="Times New Roman" w:cs="Times New Roman" w:ascii="Times New Roman" w:hAnsi="Times New Roman"/>
                <w:vanish/>
                <w:highlight w:val="yellow"/>
                <w:rtl w:val="true"/>
              </w:rPr>
              <w:t>&lt;</w:t>
            </w:r>
            <w:r>
              <w:rPr>
                <w:rFonts w:ascii="Times New Roman" w:hAnsi="Times New Roman" w:eastAsia="Times New Roman" w:cs="Times New Roman"/>
                <w:b/>
                <w:b/>
                <w:bCs/>
                <w:sz w:val="26"/>
                <w:sz w:val="26"/>
                <w:szCs w:val="26"/>
                <w:rtl w:val="true"/>
              </w:rPr>
              <w:t xml:space="preserve">מדינת ישראל </w:t>
            </w:r>
            <w:r>
              <w:rPr>
                <w:rFonts w:eastAsia="Times New Roman" w:cs="Times New Roman" w:ascii="Times New Roman" w:hAnsi="Times New Roman"/>
                <w:vanish/>
                <w:highlight w:val="yellow"/>
                <w:rtl w:val="true"/>
              </w:rPr>
              <w:t>&lt;&gt;&lt;&gt;&gt;</w:t>
            </w:r>
          </w:p>
        </w:tc>
      </w:tr>
      <w:tr>
        <w:trPr/>
        <w:tc>
          <w:tcPr>
            <w:tcW w:w="8612" w:type="dxa"/>
            <w:gridSpan w:val="5"/>
            <w:tcBorders/>
          </w:tcPr>
          <w:p>
            <w:pPr>
              <w:pStyle w:val="Normal"/>
              <w:snapToGrid w:val="false"/>
              <w:spacing w:lineRule="auto" w:line="360"/>
              <w:ind w:end="0"/>
              <w:jc w:val="both"/>
              <w:rPr>
                <w:rFonts w:ascii="Arial" w:hAnsi="Arial" w:eastAsia="Times New Roman" w:cs="Arial"/>
                <w:b/>
                <w:bCs/>
                <w:sz w:val="26"/>
                <w:szCs w:val="26"/>
              </w:rPr>
            </w:pPr>
            <w:r>
              <w:rPr>
                <w:rFonts w:eastAsia="Times New Roman" w:cs="Arial" w:ascii="Arial" w:hAnsi="Arial"/>
                <w:b/>
                <w:bCs/>
                <w:sz w:val="26"/>
                <w:szCs w:val="26"/>
                <w:rtl w:val="true"/>
              </w:rPr>
            </w:r>
          </w:p>
          <w:p>
            <w:pPr>
              <w:pStyle w:val="Normal"/>
              <w:spacing w:lineRule="auto" w:line="360"/>
              <w:ind w:end="0"/>
              <w:jc w:val="center"/>
              <w:rPr>
                <w:rFonts w:ascii="Arial" w:hAnsi="Arial" w:eastAsia="Times New Roman" w:cs="Arial"/>
                <w:b/>
                <w:bCs/>
                <w:sz w:val="26"/>
                <w:szCs w:val="26"/>
              </w:rPr>
            </w:pPr>
            <w:r>
              <w:rPr>
                <w:rFonts w:ascii="Arial" w:hAnsi="Arial" w:eastAsia="Times New Roman" w:cs="Arial"/>
                <w:b/>
                <w:b/>
                <w:bCs/>
                <w:sz w:val="26"/>
                <w:sz w:val="26"/>
                <w:szCs w:val="26"/>
                <w:rtl w:val="true"/>
              </w:rPr>
              <w:t>נגד</w:t>
            </w:r>
          </w:p>
          <w:p>
            <w:pPr>
              <w:pStyle w:val="Normal"/>
              <w:spacing w:lineRule="auto" w:line="360"/>
              <w:ind w:end="0"/>
              <w:jc w:val="center"/>
              <w:rPr>
                <w:rFonts w:ascii="Arial" w:hAnsi="Arial" w:eastAsia="Times New Roman" w:cs="Arial"/>
                <w:b/>
                <w:bCs/>
                <w:sz w:val="26"/>
                <w:szCs w:val="26"/>
              </w:rPr>
            </w:pPr>
            <w:r>
              <w:rPr>
                <w:rFonts w:eastAsia="Times New Roman" w:cs="Arial" w:ascii="Arial" w:hAnsi="Arial"/>
                <w:b/>
                <w:bCs/>
                <w:sz w:val="26"/>
                <w:szCs w:val="26"/>
                <w:rtl w:val="true"/>
              </w:rPr>
            </w:r>
          </w:p>
        </w:tc>
      </w:tr>
      <w:tr>
        <w:trPr/>
        <w:tc>
          <w:tcPr>
            <w:tcW w:w="3204" w:type="dxa"/>
            <w:gridSpan w:val="3"/>
            <w:tcBorders/>
          </w:tcPr>
          <w:p>
            <w:pPr>
              <w:pStyle w:val="Normal"/>
              <w:spacing w:lineRule="auto" w:line="360"/>
              <w:ind w:start="26" w:end="0"/>
              <w:jc w:val="start"/>
              <w:rPr>
                <w:rFonts w:ascii="Times New Roman" w:hAnsi="Times New Roman" w:eastAsia="Times New Roman" w:cs="Times New Roman"/>
                <w:b/>
                <w:bCs/>
                <w:sz w:val="26"/>
                <w:szCs w:val="26"/>
              </w:rPr>
            </w:pPr>
            <w:r>
              <w:rPr>
                <w:rFonts w:ascii="Times New Roman" w:hAnsi="Times New Roman" w:eastAsia="Times New Roman" w:cs="Times New Roman"/>
                <w:b/>
                <w:b/>
                <w:bCs/>
                <w:sz w:val="26"/>
                <w:sz w:val="26"/>
                <w:szCs w:val="26"/>
                <w:rtl w:val="true"/>
              </w:rPr>
              <w:t>ה</w:t>
            </w:r>
            <w:r>
              <w:rPr>
                <w:rFonts w:eastAsia="Times New Roman" w:cs="Times New Roman" w:ascii="Times New Roman" w:hAnsi="Times New Roman"/>
                <w:vanish/>
                <w:highlight w:val="yellow"/>
                <w:rtl w:val="true"/>
              </w:rPr>
              <w:t>&lt;</w:t>
            </w:r>
            <w:r>
              <w:rPr>
                <w:rFonts w:ascii="Times New Roman" w:hAnsi="Times New Roman" w:eastAsia="Times New Roman" w:cs="Times New Roman"/>
                <w:b/>
                <w:b/>
                <w:bCs/>
                <w:sz w:val="26"/>
                <w:sz w:val="26"/>
                <w:szCs w:val="26"/>
                <w:rtl w:val="true"/>
              </w:rPr>
              <w:t>נאש</w:t>
            </w:r>
            <w:r>
              <w:rPr>
                <w:rFonts w:ascii="Times New Roman" w:hAnsi="Times New Roman" w:eastAsia="Times New Roman" w:cs="Times New Roman"/>
                <w:b/>
                <w:b/>
                <w:bCs/>
                <w:sz w:val="26"/>
                <w:sz w:val="26"/>
                <w:szCs w:val="26"/>
                <w:rtl w:val="true"/>
              </w:rPr>
              <w:t>ם</w:t>
            </w:r>
            <w:r>
              <w:rPr>
                <w:rFonts w:eastAsia="Times New Roman" w:cs="Times New Roman" w:ascii="Times New Roman" w:hAnsi="Times New Roman"/>
                <w:vanish/>
                <w:highlight w:val="yellow"/>
                <w:rtl w:val="true"/>
              </w:rPr>
              <w:t>&gt;</w:t>
            </w:r>
          </w:p>
        </w:tc>
        <w:tc>
          <w:tcPr>
            <w:tcW w:w="5408" w:type="dxa"/>
            <w:gridSpan w:val="2"/>
            <w:tcBorders/>
          </w:tcPr>
          <w:p>
            <w:pPr>
              <w:pStyle w:val="Normal"/>
              <w:spacing w:lineRule="auto" w:line="360"/>
              <w:ind w:end="0"/>
              <w:jc w:val="start"/>
              <w:rPr>
                <w:rFonts w:ascii="Times New Roman" w:hAnsi="Times New Roman" w:eastAsia="Times New Roman" w:cs="Times New Roman"/>
                <w:b/>
                <w:bCs/>
                <w:sz w:val="26"/>
                <w:szCs w:val="26"/>
              </w:rPr>
            </w:pPr>
            <w:r>
              <w:rPr>
                <w:rFonts w:eastAsia="Times New Roman" w:cs="Times New Roman" w:ascii="Times New Roman" w:hAnsi="Times New Roman"/>
                <w:vanish/>
                <w:highlight w:val="yellow"/>
                <w:rtl w:val="true"/>
              </w:rPr>
              <w:t>&lt;&lt;&gt;&lt;</w:t>
            </w:r>
            <w:r>
              <w:rPr>
                <w:rFonts w:ascii="Times New Roman" w:hAnsi="Times New Roman" w:eastAsia="Times New Roman" w:cs="Times New Roman"/>
                <w:b/>
                <w:b/>
                <w:bCs/>
                <w:sz w:val="26"/>
                <w:sz w:val="26"/>
                <w:szCs w:val="26"/>
                <w:rtl w:val="true"/>
              </w:rPr>
              <w:t xml:space="preserve">קיאל קשאש </w:t>
            </w:r>
            <w:r>
              <w:rPr>
                <w:rFonts w:eastAsia="Times New Roman" w:cs="Times New Roman" w:ascii="Times New Roman" w:hAnsi="Times New Roman"/>
                <w:b/>
                <w:bCs/>
                <w:sz w:val="26"/>
                <w:szCs w:val="26"/>
                <w:rtl w:val="true"/>
              </w:rPr>
              <w:t>(</w:t>
            </w:r>
            <w:r>
              <w:rPr>
                <w:rFonts w:ascii="Times New Roman" w:hAnsi="Times New Roman" w:eastAsia="Times New Roman" w:cs="Times New Roman"/>
                <w:b/>
                <w:b/>
                <w:bCs/>
                <w:sz w:val="26"/>
                <w:sz w:val="26"/>
                <w:szCs w:val="26"/>
                <w:rtl w:val="true"/>
              </w:rPr>
              <w:t>עציר</w:t>
            </w:r>
            <w:r>
              <w:rPr>
                <w:rFonts w:eastAsia="Times New Roman" w:cs="Times New Roman" w:ascii="Times New Roman" w:hAnsi="Times New Roman"/>
                <w:b/>
                <w:bCs/>
                <w:sz w:val="26"/>
                <w:szCs w:val="26"/>
                <w:rtl w:val="true"/>
              </w:rPr>
              <w:t>)</w:t>
            </w:r>
            <w:r>
              <w:rPr>
                <w:rFonts w:eastAsia="Times New Roman" w:cs="Times New Roman" w:ascii="Times New Roman" w:hAnsi="Times New Roman"/>
                <w:vanish/>
                <w:highlight w:val="yellow"/>
                <w:rtl w:val="true"/>
              </w:rPr>
              <w:t>&gt;&gt;</w:t>
            </w:r>
          </w:p>
        </w:tc>
      </w:tr>
    </w:tbl>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spacing w:lineRule="auto" w:line="360"/>
        <w:ind w:end="0"/>
        <w:jc w:val="start"/>
        <w:rPr>
          <w:u w:val="none"/>
        </w:rPr>
      </w:pPr>
      <w:r>
        <w:rPr>
          <w:u w:val="none"/>
          <w:rtl w:val="true"/>
        </w:rPr>
        <w:t>נוכחים</w:t>
      </w:r>
      <w:r>
        <w:rPr>
          <w:u w:val="none"/>
          <w:rtl w:val="true"/>
        </w:rPr>
        <w:t>:</w:t>
      </w:r>
    </w:p>
    <w:p>
      <w:pPr>
        <w:pStyle w:val="12"/>
        <w:spacing w:lineRule="auto" w:line="360"/>
        <w:ind w:end="0"/>
        <w:jc w:val="start"/>
        <w:rPr>
          <w:b w:val="false"/>
          <w:bCs w:val="false"/>
          <w:u w:val="none"/>
        </w:rPr>
      </w:pPr>
      <w:bookmarkStart w:id="3" w:name="FirstLawyer"/>
      <w:r>
        <w:rPr>
          <w:b w:val="false"/>
          <w:b w:val="false"/>
          <w:bCs w:val="false"/>
          <w:u w:val="none"/>
          <w:rtl w:val="true"/>
        </w:rPr>
        <w:t>ב</w:t>
      </w:r>
      <w:r>
        <w:rPr>
          <w:b w:val="false"/>
          <w:bCs w:val="false"/>
          <w:u w:val="none"/>
          <w:rtl w:val="true"/>
        </w:rPr>
        <w:t>"</w:t>
      </w:r>
      <w:r>
        <w:rPr>
          <w:b w:val="false"/>
          <w:b w:val="false"/>
          <w:bCs w:val="false"/>
          <w:u w:val="none"/>
          <w:rtl w:val="true"/>
        </w:rPr>
        <w:t>כ</w:t>
      </w:r>
      <w:bookmarkEnd w:id="3"/>
      <w:r>
        <w:rPr>
          <w:b w:val="false"/>
          <w:b w:val="false"/>
          <w:bCs w:val="false"/>
          <w:u w:val="none"/>
          <w:rtl w:val="true"/>
        </w:rPr>
        <w:t xml:space="preserve"> המאשימה </w:t>
      </w:r>
      <w:r>
        <w:rPr>
          <w:b w:val="false"/>
          <w:b w:val="false"/>
          <w:bCs w:val="false"/>
          <w:u w:val="none"/>
          <w:rtl w:val="true"/>
        </w:rPr>
        <w:t>–</w:t>
      </w:r>
      <w:r>
        <w:rPr>
          <w:b w:val="false"/>
          <w:b w:val="false"/>
          <w:bCs w:val="false"/>
          <w:u w:val="none"/>
          <w:rtl w:val="true"/>
        </w:rPr>
        <w:t xml:space="preserve"> עו</w:t>
      </w:r>
      <w:r>
        <w:rPr>
          <w:b w:val="false"/>
          <w:bCs w:val="false"/>
          <w:u w:val="none"/>
          <w:rtl w:val="true"/>
        </w:rPr>
        <w:t>"</w:t>
      </w:r>
      <w:r>
        <w:rPr>
          <w:b w:val="false"/>
          <w:b w:val="false"/>
          <w:bCs w:val="false"/>
          <w:u w:val="none"/>
          <w:rtl w:val="true"/>
        </w:rPr>
        <w:t>ד גב</w:t>
      </w:r>
      <w:r>
        <w:rPr>
          <w:b w:val="false"/>
          <w:bCs w:val="false"/>
          <w:u w:val="none"/>
          <w:rtl w:val="true"/>
        </w:rPr>
        <w:t xml:space="preserve">' </w:t>
      </w:r>
      <w:r>
        <w:rPr>
          <w:b w:val="false"/>
          <w:b w:val="false"/>
          <w:bCs w:val="false"/>
          <w:u w:val="none"/>
          <w:rtl w:val="true"/>
        </w:rPr>
        <w:t>בוגדנוב</w:t>
      </w:r>
    </w:p>
    <w:p>
      <w:pPr>
        <w:pStyle w:val="12"/>
        <w:spacing w:lineRule="auto" w:line="360"/>
        <w:ind w:end="0"/>
        <w:jc w:val="start"/>
        <w:rPr>
          <w:b w:val="false"/>
          <w:bCs w:val="false"/>
          <w:u w:val="none"/>
        </w:rPr>
      </w:pPr>
      <w:r>
        <w:rPr>
          <w:b w:val="false"/>
          <w:b w:val="false"/>
          <w:bCs w:val="false"/>
          <w:u w:val="none"/>
          <w:rtl w:val="true"/>
        </w:rPr>
        <w:t>ב</w:t>
      </w:r>
      <w:r>
        <w:rPr>
          <w:b w:val="false"/>
          <w:bCs w:val="false"/>
          <w:u w:val="none"/>
          <w:rtl w:val="true"/>
        </w:rPr>
        <w:t>"</w:t>
      </w:r>
      <w:r>
        <w:rPr>
          <w:b w:val="false"/>
          <w:b w:val="false"/>
          <w:bCs w:val="false"/>
          <w:u w:val="none"/>
          <w:rtl w:val="true"/>
        </w:rPr>
        <w:t xml:space="preserve">כ הנאשם </w:t>
      </w:r>
      <w:r>
        <w:rPr>
          <w:b w:val="false"/>
          <w:b w:val="false"/>
          <w:bCs w:val="false"/>
          <w:u w:val="none"/>
          <w:rtl w:val="true"/>
        </w:rPr>
        <w:t>–</w:t>
      </w:r>
      <w:r>
        <w:rPr>
          <w:b w:val="false"/>
          <w:b w:val="false"/>
          <w:bCs w:val="false"/>
          <w:u w:val="none"/>
          <w:rtl w:val="true"/>
        </w:rPr>
        <w:t xml:space="preserve"> עו</w:t>
      </w:r>
      <w:r>
        <w:rPr>
          <w:b w:val="false"/>
          <w:bCs w:val="false"/>
          <w:u w:val="none"/>
          <w:rtl w:val="true"/>
        </w:rPr>
        <w:t>"</w:t>
      </w:r>
      <w:r>
        <w:rPr>
          <w:b w:val="false"/>
          <w:b w:val="false"/>
          <w:bCs w:val="false"/>
          <w:u w:val="none"/>
          <w:rtl w:val="true"/>
        </w:rPr>
        <w:t>ד עריד</w:t>
      </w:r>
    </w:p>
    <w:p>
      <w:pPr>
        <w:pStyle w:val="12"/>
        <w:spacing w:lineRule="auto" w:line="360"/>
        <w:ind w:end="0"/>
        <w:jc w:val="start"/>
        <w:rPr>
          <w:b w:val="false"/>
          <w:bCs w:val="false"/>
          <w:u w:val="none"/>
        </w:rPr>
      </w:pPr>
      <w:r>
        <w:rPr>
          <w:b w:val="false"/>
          <w:b w:val="false"/>
          <w:bCs w:val="false"/>
          <w:u w:val="none"/>
          <w:rtl w:val="true"/>
        </w:rPr>
        <w:t xml:space="preserve">הנאשם </w:t>
      </w:r>
      <w:r>
        <w:rPr>
          <w:b w:val="false"/>
          <w:b w:val="false"/>
          <w:bCs w:val="false"/>
          <w:u w:val="none"/>
          <w:rtl w:val="true"/>
        </w:rPr>
        <w:t>–</w:t>
      </w:r>
      <w:r>
        <w:rPr>
          <w:b w:val="false"/>
          <w:b w:val="false"/>
          <w:bCs w:val="false"/>
          <w:u w:val="none"/>
          <w:rtl w:val="true"/>
        </w:rPr>
        <w:t xml:space="preserve"> באמצעות הליווי</w:t>
      </w:r>
    </w:p>
    <w:p>
      <w:pPr>
        <w:pStyle w:val="12"/>
        <w:spacing w:lineRule="auto" w:line="360"/>
        <w:ind w:end="0"/>
        <w:jc w:val="start"/>
        <w:rPr>
          <w:b w:val="false"/>
          <w:bCs w:val="false"/>
          <w:sz w:val="6"/>
          <w:szCs w:val="6"/>
          <w:u w:val="none"/>
        </w:rPr>
      </w:pPr>
      <w:r>
        <w:rPr>
          <w:b w:val="false"/>
          <w:bCs w:val="false"/>
          <w:sz w:val="6"/>
          <w:szCs w:val="6"/>
          <w:u w:val="none"/>
        </w:rPr>
        <w:t>#3#</w:t>
      </w:r>
      <w:r>
        <w:rPr>
          <w:b w:val="false"/>
          <w:bCs w:val="false"/>
          <w:sz w:val="6"/>
          <w:szCs w:val="6"/>
          <w:u w:val="none"/>
          <w:rtl w:val="true"/>
        </w:rPr>
        <w:t>&gt;</w:t>
      </w:r>
      <w:bookmarkStart w:id="4" w:name="LawTable"/>
      <w:bookmarkEnd w:id="4"/>
    </w:p>
    <w:p>
      <w:pPr>
        <w:pStyle w:val="12"/>
        <w:spacing w:lineRule="exact" w:line="240" w:before="0" w:after="120"/>
        <w:ind w:hanging="283" w:start="283" w:end="0"/>
        <w:jc w:val="both"/>
        <w:rPr>
          <w:rFonts w:ascii="FrankRuehl" w:hAnsi="FrankRuehl" w:cs="FrankRuehl"/>
          <w:b w:val="false"/>
          <w:bCs w:val="false"/>
          <w:sz w:val="6"/>
          <w:szCs w:val="6"/>
          <w:u w:val="none"/>
        </w:rPr>
      </w:pPr>
      <w:r>
        <w:rPr>
          <w:rFonts w:cs="FrankRuehl" w:ascii="FrankRuehl" w:hAnsi="FrankRuehl"/>
          <w:b w:val="false"/>
          <w:bCs w:val="false"/>
          <w:sz w:val="6"/>
          <w:szCs w:val="6"/>
          <w:u w:val="none"/>
          <w:rtl w:val="true"/>
        </w:rPr>
      </w:r>
    </w:p>
    <w:p>
      <w:pPr>
        <w:pStyle w:val="12"/>
        <w:spacing w:lineRule="exact" w:line="240" w:before="0" w:after="120"/>
        <w:ind w:hanging="283" w:start="283" w:end="0"/>
        <w:jc w:val="both"/>
        <w:rPr>
          <w:rFonts w:ascii="FrankRuehl" w:hAnsi="FrankRuehl" w:cs="FrankRuehl"/>
          <w:b w:val="false"/>
          <w:bCs w:val="false"/>
          <w:u w:val="none"/>
        </w:rPr>
      </w:pPr>
      <w:r>
        <w:rPr>
          <w:rFonts w:ascii="FrankRuehl" w:hAnsi="FrankRuehl" w:cs="FrankRuehl"/>
          <w:b w:val="false"/>
          <w:b w:val="false"/>
          <w:bCs w:val="false"/>
          <w:u w:val="none"/>
          <w:rtl w:val="true"/>
        </w:rPr>
        <w:t>חקיקה שאוזכרה</w:t>
      </w:r>
      <w:r>
        <w:rPr>
          <w:rFonts w:cs="FrankRuehl" w:ascii="FrankRuehl" w:hAnsi="FrankRuehl"/>
          <w:b w:val="false"/>
          <w:bCs w:val="false"/>
          <w:u w:val="none"/>
          <w:rtl w:val="true"/>
        </w:rPr>
        <w:t xml:space="preserve">: </w:t>
      </w:r>
    </w:p>
    <w:p>
      <w:pPr>
        <w:pStyle w:val="12"/>
        <w:spacing w:lineRule="exact" w:line="240" w:before="0" w:after="120"/>
        <w:ind w:hanging="283" w:start="283" w:end="0"/>
        <w:jc w:val="both"/>
        <w:rPr>
          <w:rFonts w:ascii="FrankRuehl" w:hAnsi="FrankRuehl" w:cs="FrankRuehl"/>
          <w:b w:val="false"/>
          <w:bCs w:val="false"/>
          <w:color w:val="0000FF"/>
        </w:rPr>
      </w:pPr>
      <w:hyperlink r:id="rId2">
        <w:r>
          <w:rPr>
            <w:rStyle w:val="Hyperlink"/>
            <w:rFonts w:ascii="FrankRuehl" w:hAnsi="FrankRuehl" w:eastAsia="David" w:cs="FrankRuehl"/>
            <w:b/>
            <w:b/>
            <w:bCs/>
            <w:rtl w:val="true"/>
          </w:rPr>
          <w:t>חוק העונשין</w:t>
        </w:r>
        <w:r>
          <w:rPr>
            <w:rStyle w:val="Hyperlink"/>
            <w:rFonts w:eastAsia="David" w:cs="FrankRuehl" w:ascii="FrankRuehl" w:hAnsi="FrankRuehl"/>
            <w:b/>
            <w:bCs/>
            <w:rtl w:val="true"/>
          </w:rPr>
          <w:t xml:space="preserve">, </w:t>
        </w:r>
        <w:r>
          <w:rPr>
            <w:rStyle w:val="Hyperlink"/>
            <w:rFonts w:ascii="FrankRuehl" w:hAnsi="FrankRuehl" w:eastAsia="David" w:cs="FrankRuehl"/>
            <w:b/>
            <w:b/>
            <w:bCs/>
            <w:rtl w:val="true"/>
          </w:rPr>
          <w:t>תשל</w:t>
        </w:r>
        <w:r>
          <w:rPr>
            <w:rStyle w:val="Hyperlink"/>
            <w:rFonts w:eastAsia="David" w:cs="FrankRuehl" w:ascii="FrankRuehl" w:hAnsi="FrankRuehl"/>
            <w:b/>
            <w:bCs/>
            <w:rtl w:val="true"/>
          </w:rPr>
          <w:t>"</w:t>
        </w:r>
        <w:r>
          <w:rPr>
            <w:rStyle w:val="Hyperlink"/>
            <w:rFonts w:ascii="FrankRuehl" w:hAnsi="FrankRuehl" w:eastAsia="David" w:cs="FrankRuehl"/>
            <w:b/>
            <w:b/>
            <w:bCs/>
            <w:rtl w:val="true"/>
          </w:rPr>
          <w:t>ז</w:t>
        </w:r>
        <w:r>
          <w:rPr>
            <w:rStyle w:val="Hyperlink"/>
            <w:rFonts w:eastAsia="David" w:cs="FrankRuehl" w:ascii="FrankRuehl" w:hAnsi="FrankRuehl"/>
            <w:b/>
            <w:bCs/>
            <w:rtl w:val="true"/>
          </w:rPr>
          <w:t>-</w:t>
        </w:r>
        <w:r>
          <w:rPr>
            <w:rStyle w:val="Hyperlink"/>
            <w:rFonts w:eastAsia="David" w:cs="FrankRuehl" w:ascii="FrankRuehl" w:hAnsi="FrankRuehl"/>
            <w:b/>
            <w:bCs/>
          </w:rPr>
          <w:t>1977</w:t>
        </w:r>
      </w:hyperlink>
      <w:r>
        <w:rPr>
          <w:rFonts w:cs="FrankRuehl" w:ascii="FrankRuehl" w:hAnsi="FrankRuehl"/>
          <w:b w:val="false"/>
          <w:bCs w:val="false"/>
          <w:color w:val="0000FF"/>
          <w:rtl w:val="true"/>
        </w:rPr>
        <w:t xml:space="preserve">: </w:t>
      </w:r>
      <w:r>
        <w:rPr>
          <w:rFonts w:ascii="FrankRuehl" w:hAnsi="FrankRuehl" w:cs="FrankRuehl"/>
          <w:b w:val="false"/>
          <w:b w:val="false"/>
          <w:bCs w:val="false"/>
          <w:color w:val="0000FF"/>
          <w:rtl w:val="true"/>
        </w:rPr>
        <w:t>סע</w:t>
      </w:r>
      <w:r>
        <w:rPr>
          <w:rFonts w:cs="FrankRuehl" w:ascii="FrankRuehl" w:hAnsi="FrankRuehl"/>
          <w:b w:val="false"/>
          <w:bCs w:val="false"/>
          <w:color w:val="0000FF"/>
          <w:rtl w:val="true"/>
        </w:rPr>
        <w:t xml:space="preserve">'  </w:t>
      </w:r>
      <w:hyperlink r:id="rId3">
        <w:r>
          <w:rPr>
            <w:rStyle w:val="Hyperlink"/>
            <w:rFonts w:eastAsia="David" w:cs="FrankRuehl" w:ascii="FrankRuehl" w:hAnsi="FrankRuehl"/>
            <w:b/>
            <w:bCs/>
          </w:rPr>
          <w:t>144</w:t>
        </w:r>
      </w:hyperlink>
    </w:p>
    <w:p>
      <w:pPr>
        <w:pStyle w:val="12"/>
        <w:spacing w:lineRule="exact" w:line="240" w:before="0" w:after="120"/>
        <w:ind w:hanging="283" w:start="283" w:end="0"/>
        <w:jc w:val="both"/>
        <w:rPr>
          <w:rFonts w:ascii="FrankRuehl" w:hAnsi="FrankRuehl" w:cs="FrankRuehl"/>
          <w:b w:val="false"/>
          <w:bCs w:val="false"/>
          <w:color w:val="0000FF"/>
          <w:u w:val="none"/>
        </w:rPr>
      </w:pPr>
      <w:r>
        <w:rPr>
          <w:rFonts w:cs="FrankRuehl" w:ascii="FrankRuehl" w:hAnsi="FrankRuehl"/>
          <w:b w:val="false"/>
          <w:bCs w:val="false"/>
          <w:color w:val="0000FF"/>
          <w:u w:val="none"/>
          <w:rtl w:val="true"/>
        </w:rPr>
      </w:r>
    </w:p>
    <w:p>
      <w:pPr>
        <w:pStyle w:val="12"/>
        <w:spacing w:lineRule="auto" w:line="360"/>
        <w:ind w:end="0"/>
        <w:jc w:val="start"/>
        <w:rPr>
          <w:rFonts w:ascii="FrankRuehl" w:hAnsi="FrankRuehl" w:cs="FrankRuehl"/>
          <w:b w:val="false"/>
          <w:bCs w:val="false"/>
          <w:sz w:val="6"/>
          <w:szCs w:val="6"/>
          <w:u w:val="none"/>
        </w:rPr>
      </w:pPr>
      <w:r>
        <w:rPr>
          <w:rFonts w:cs="FrankRuehl" w:ascii="FrankRuehl" w:hAnsi="FrankRuehl"/>
          <w:b w:val="false"/>
          <w:bCs w:val="false"/>
          <w:sz w:val="6"/>
          <w:szCs w:val="6"/>
          <w:u w:val="none"/>
          <w:rtl w:val="true"/>
        </w:rPr>
      </w:r>
      <w:bookmarkStart w:id="5" w:name="LawTable_End"/>
      <w:bookmarkStart w:id="6" w:name="LawTable_End"/>
      <w:bookmarkEnd w:id="6"/>
    </w:p>
    <w:p>
      <w:pPr>
        <w:pStyle w:val="12"/>
        <w:spacing w:lineRule="auto" w:line="360"/>
        <w:ind w:end="0"/>
        <w:jc w:val="start"/>
        <w:rPr>
          <w:b w:val="false"/>
          <w:bCs w:val="false"/>
          <w:sz w:val="6"/>
          <w:szCs w:val="6"/>
          <w:u w:val="none"/>
        </w:rPr>
      </w:pPr>
      <w:r>
        <w:rPr>
          <w:b w:val="false"/>
          <w:bCs w:val="false"/>
          <w:sz w:val="6"/>
          <w:szCs w:val="6"/>
          <w:u w:val="none"/>
          <w:rtl w:val="true"/>
        </w:rPr>
      </w:r>
    </w:p>
    <w:p>
      <w:pPr>
        <w:pStyle w:val="12"/>
        <w:spacing w:lineRule="auto" w:line="360"/>
        <w:ind w:end="0"/>
        <w:jc w:val="start"/>
        <w:rPr>
          <w:b w:val="false"/>
          <w:bCs w:val="false"/>
          <w:sz w:val="6"/>
          <w:szCs w:val="6"/>
          <w:u w:val="none"/>
        </w:rPr>
      </w:pPr>
      <w:r>
        <w:rPr>
          <w:b w:val="false"/>
          <w:bCs w:val="false"/>
          <w:sz w:val="6"/>
          <w:szCs w:val="6"/>
          <w:u w:val="none"/>
          <w:rtl w:val="true"/>
        </w:rPr>
      </w:r>
    </w:p>
    <w:p>
      <w:pPr>
        <w:pStyle w:val="Normal"/>
        <w:spacing w:lineRule="auto" w:line="360"/>
        <w:ind w:end="0"/>
        <w:jc w:val="center"/>
        <w:rPr>
          <w:rFonts w:ascii="Arial" w:hAnsi="Arial" w:cs="Arial"/>
          <w:b/>
          <w:bCs/>
          <w:sz w:val="28"/>
          <w:szCs w:val="28"/>
          <w:u w:val="none"/>
        </w:rPr>
      </w:pPr>
      <w:r>
        <w:rPr>
          <w:rFonts w:cs="Arial" w:ascii="Arial" w:hAnsi="Arial"/>
          <w:b/>
          <w:bCs/>
          <w:sz w:val="28"/>
          <w:szCs w:val="28"/>
          <w:u w:val="none"/>
          <w:rtl w:val="true"/>
        </w:rPr>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u w:val="single"/>
        </w:rPr>
      </w:pPr>
      <w:bookmarkStart w:id="7" w:name="PsakDin"/>
      <w:bookmarkEnd w:id="7"/>
      <w:r>
        <w:rPr>
          <w:rFonts w:ascii="Arial" w:hAnsi="Arial" w:cs="Arial"/>
          <w:b/>
          <w:b/>
          <w:bCs/>
          <w:sz w:val="28"/>
          <w:sz w:val="28"/>
          <w:szCs w:val="28"/>
          <w:u w:val="single"/>
          <w:rtl w:val="true"/>
        </w:rPr>
        <w:t>גזר דין</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bookmarkStart w:id="8" w:name="PsakDin"/>
      <w:bookmarkStart w:id="9" w:name="PsakDin"/>
      <w:bookmarkEnd w:id="9"/>
    </w:p>
    <w:p>
      <w:pPr>
        <w:pStyle w:val="Normal"/>
        <w:spacing w:lineRule="auto" w:line="360"/>
        <w:ind w:hanging="720" w:start="720" w:end="0"/>
        <w:jc w:val="both"/>
        <w:rPr/>
      </w:pPr>
      <w:r>
        <w:rPr/>
        <w:t>1</w:t>
      </w:r>
      <w:r>
        <w:rPr>
          <w:rtl w:val="true"/>
        </w:rPr>
        <w:t>.</w:t>
        <w:tab/>
      </w:r>
      <w:r>
        <w:rPr>
          <w:rtl w:val="true"/>
        </w:rPr>
        <w:t>הנאשם הורשע בעבירות של קשירת קשר לפשע</w:t>
      </w:r>
      <w:r>
        <w:rPr>
          <w:rtl w:val="true"/>
        </w:rPr>
        <w:t xml:space="preserve">, </w:t>
      </w:r>
      <w:r>
        <w:rPr>
          <w:rtl w:val="true"/>
        </w:rPr>
        <w:t>נשיאה והובלת נשק</w:t>
      </w:r>
      <w:r>
        <w:rPr>
          <w:rtl w:val="true"/>
        </w:rPr>
        <w:t xml:space="preserve">, </w:t>
      </w:r>
      <w:r>
        <w:rPr>
          <w:rtl w:val="true"/>
        </w:rPr>
        <w:t>חבלה בכוונה מחמירה ותקיפה הגורמת חבלה של ממש</w:t>
      </w:r>
      <w:r>
        <w:rPr>
          <w:rtl w:val="true"/>
        </w:rPr>
        <w:t xml:space="preserve">. </w:t>
      </w:r>
      <w:r>
        <w:rPr>
          <w:rtl w:val="true"/>
        </w:rPr>
        <w:t>על פי עובדות כתב האישום המתוקן</w:t>
      </w:r>
      <w:r>
        <w:rPr>
          <w:rtl w:val="true"/>
        </w:rPr>
        <w:t xml:space="preserve">, </w:t>
      </w:r>
      <w:r>
        <w:rPr>
          <w:rtl w:val="true"/>
        </w:rPr>
        <w:t xml:space="preserve">בהן הודה הנאשם </w:t>
      </w:r>
      <w:r>
        <w:rPr>
          <w:rtl w:val="true"/>
        </w:rPr>
        <w:t>(</w:t>
      </w:r>
      <w:r>
        <w:rPr>
          <w:rtl w:val="true"/>
        </w:rPr>
        <w:t>לאחר שמיעת מרבית הראיות</w:t>
      </w:r>
      <w:r>
        <w:rPr>
          <w:rtl w:val="true"/>
        </w:rPr>
        <w:t xml:space="preserve">), </w:t>
      </w:r>
      <w:r>
        <w:rPr>
          <w:rtl w:val="true"/>
        </w:rPr>
        <w:t>קשר הנאשם קשר יחד עם אחר לירות במתלונן</w:t>
      </w:r>
      <w:r>
        <w:rPr>
          <w:rtl w:val="true"/>
        </w:rPr>
        <w:t xml:space="preserve">. </w:t>
      </w:r>
      <w:r>
        <w:rPr>
          <w:rtl w:val="true"/>
        </w:rPr>
        <w:t xml:space="preserve">ביום </w:t>
      </w:r>
      <w:r>
        <w:rPr/>
        <w:t>18.10.07</w:t>
      </w:r>
      <w:r>
        <w:rPr>
          <w:rtl w:val="true"/>
        </w:rPr>
        <w:t xml:space="preserve"> </w:t>
      </w:r>
      <w:r>
        <w:rPr>
          <w:rtl w:val="true"/>
        </w:rPr>
        <w:t>נפגש הנאשם עם המתלונן</w:t>
      </w:r>
      <w:r>
        <w:rPr>
          <w:rtl w:val="true"/>
        </w:rPr>
        <w:t xml:space="preserve">, </w:t>
      </w:r>
      <w:r>
        <w:rPr>
          <w:rtl w:val="true"/>
        </w:rPr>
        <w:t xml:space="preserve">ירה לעברו </w:t>
      </w:r>
      <w:r>
        <w:rPr/>
        <w:t>4</w:t>
      </w:r>
      <w:r>
        <w:rPr>
          <w:rtl w:val="true"/>
        </w:rPr>
        <w:t xml:space="preserve"> </w:t>
      </w:r>
      <w:r>
        <w:rPr>
          <w:rtl w:val="true"/>
        </w:rPr>
        <w:t xml:space="preserve">עד </w:t>
      </w:r>
      <w:r>
        <w:rPr/>
        <w:t>5</w:t>
      </w:r>
      <w:r>
        <w:rPr>
          <w:rtl w:val="true"/>
        </w:rPr>
        <w:t xml:space="preserve"> </w:t>
      </w:r>
      <w:r>
        <w:rPr>
          <w:rtl w:val="true"/>
        </w:rPr>
        <w:t>יריות</w:t>
      </w:r>
      <w:r>
        <w:rPr>
          <w:rtl w:val="true"/>
        </w:rPr>
        <w:t xml:space="preserve">, </w:t>
      </w:r>
      <w:r>
        <w:rPr>
          <w:rtl w:val="true"/>
        </w:rPr>
        <w:t>פגע ברגלו הימנית של המתלונן וגרם לו שבר מרוסק בשוק ימין</w:t>
      </w:r>
      <w:r>
        <w:rPr>
          <w:rtl w:val="true"/>
        </w:rPr>
        <w:t xml:space="preserve">. </w:t>
      </w:r>
      <w:r>
        <w:rPr>
          <w:rtl w:val="true"/>
        </w:rPr>
        <w:t>כתוצאה מהירי נחבלה גם עוברת אורח</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2</w:t>
      </w:r>
      <w:r>
        <w:rPr>
          <w:rtl w:val="true"/>
        </w:rPr>
        <w:t>.</w:t>
        <w:tab/>
      </w:r>
      <w:r>
        <w:rPr>
          <w:rtl w:val="true"/>
        </w:rPr>
        <w:t xml:space="preserve">הנאשם יליד שנת </w:t>
      </w:r>
      <w:r>
        <w:rPr/>
        <w:t>1987</w:t>
      </w:r>
      <w:r>
        <w:rPr>
          <w:rtl w:val="true"/>
        </w:rPr>
        <w:t xml:space="preserve">, </w:t>
      </w:r>
      <w:r>
        <w:rPr>
          <w:rtl w:val="true"/>
        </w:rPr>
        <w:t>תושב עכו העתיקה</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לנאשם הרשעה קודמת בעבירות של החזקת נשק שלא כדין</w:t>
      </w:r>
      <w:r>
        <w:rPr>
          <w:rtl w:val="true"/>
        </w:rPr>
        <w:t>,</w:t>
      </w:r>
      <w:r>
        <w:rPr>
          <w:rtl w:val="true"/>
        </w:rPr>
        <w:t>והחזקת אבזר נשק ואיומים</w:t>
      </w:r>
      <w:r>
        <w:rPr>
          <w:rtl w:val="true"/>
        </w:rPr>
        <w:t xml:space="preserve">. </w:t>
      </w:r>
      <w:r>
        <w:rPr>
          <w:rtl w:val="true"/>
        </w:rPr>
        <w:t xml:space="preserve">ביום </w:t>
      </w:r>
      <w:r>
        <w:rPr/>
        <w:t>15.1.07</w:t>
      </w:r>
      <w:r>
        <w:rPr>
          <w:rtl w:val="true"/>
        </w:rPr>
        <w:t xml:space="preserve"> </w:t>
      </w:r>
      <w:r>
        <w:rPr>
          <w:rtl w:val="true"/>
        </w:rPr>
        <w:t>נגזר על הנאשם ב</w:t>
      </w:r>
      <w:r>
        <w:rPr>
          <w:color w:val="000000"/>
          <w:rtl w:val="true"/>
        </w:rPr>
        <w:t>ת</w:t>
      </w:r>
      <w:r>
        <w:rPr>
          <w:color w:val="000000"/>
          <w:rtl w:val="true"/>
        </w:rPr>
        <w:t>.</w:t>
      </w:r>
      <w:r>
        <w:rPr>
          <w:color w:val="000000"/>
          <w:rtl w:val="true"/>
        </w:rPr>
        <w:t>פ</w:t>
      </w:r>
      <w:r>
        <w:rPr>
          <w:color w:val="000000"/>
          <w:rtl w:val="true"/>
        </w:rPr>
        <w:t xml:space="preserve">. </w:t>
      </w:r>
      <w:r>
        <w:rPr>
          <w:color w:val="000000"/>
        </w:rPr>
        <w:t>1131/06</w:t>
      </w:r>
      <w:r>
        <w:rPr>
          <w:rtl w:val="true"/>
        </w:rPr>
        <w:t xml:space="preserve"> </w:t>
      </w:r>
      <w:r>
        <w:rPr>
          <w:rtl w:val="true"/>
        </w:rPr>
        <w:t>בבימ</w:t>
      </w:r>
      <w:r>
        <w:rPr>
          <w:rtl w:val="true"/>
        </w:rPr>
        <w:t>"</w:t>
      </w:r>
      <w:r>
        <w:rPr>
          <w:rtl w:val="true"/>
        </w:rPr>
        <w:t>ש השלום בעכו</w:t>
      </w:r>
      <w:r>
        <w:rPr>
          <w:rtl w:val="true"/>
        </w:rPr>
        <w:t xml:space="preserve">, </w:t>
      </w:r>
      <w:r>
        <w:rPr>
          <w:rtl w:val="true"/>
        </w:rPr>
        <w:t xml:space="preserve">מאסר למשך </w:t>
      </w:r>
      <w:r>
        <w:rPr/>
        <w:t>4</w:t>
      </w:r>
      <w:r>
        <w:rPr>
          <w:rtl w:val="true"/>
        </w:rPr>
        <w:t xml:space="preserve"> </w:t>
      </w:r>
      <w:r>
        <w:rPr>
          <w:rtl w:val="true"/>
        </w:rPr>
        <w:t xml:space="preserve">חודשים אותם ריצה בעבודות שירות ומאסר על תנאי לתקופה של </w:t>
      </w:r>
      <w:r>
        <w:rPr/>
        <w:t>8</w:t>
      </w:r>
      <w:r>
        <w:rPr>
          <w:rtl w:val="true"/>
        </w:rPr>
        <w:t xml:space="preserve"> </w:t>
      </w:r>
      <w:r>
        <w:rPr>
          <w:rtl w:val="true"/>
        </w:rPr>
        <w:t>חודשים</w:t>
      </w:r>
      <w:r>
        <w:rPr>
          <w:rtl w:val="true"/>
        </w:rPr>
        <w:t xml:space="preserve">, </w:t>
      </w:r>
      <w:r>
        <w:rPr>
          <w:rtl w:val="true"/>
        </w:rPr>
        <w:t xml:space="preserve">למשך </w:t>
      </w:r>
      <w:r>
        <w:rPr/>
        <w:t>3</w:t>
      </w:r>
      <w:r>
        <w:rPr>
          <w:rtl w:val="true"/>
        </w:rPr>
        <w:t xml:space="preserve"> </w:t>
      </w:r>
      <w:r>
        <w:rPr>
          <w:rtl w:val="true"/>
        </w:rPr>
        <w:t>שנים</w:t>
      </w:r>
      <w:r>
        <w:rPr>
          <w:rtl w:val="true"/>
        </w:rPr>
        <w:t xml:space="preserve">, </w:t>
      </w:r>
      <w:r>
        <w:rPr>
          <w:rtl w:val="true"/>
        </w:rPr>
        <w:t xml:space="preserve">שלא יעבור עבירה לפי </w:t>
      </w:r>
      <w:hyperlink r:id="rId4">
        <w:r>
          <w:rPr>
            <w:rStyle w:val="Hyperlink"/>
            <w:rtl w:val="true"/>
          </w:rPr>
          <w:t>סעיף</w:t>
        </w:r>
        <w:r>
          <w:rPr>
            <w:rStyle w:val="Hyperlink"/>
            <w:rtl w:val="true"/>
          </w:rPr>
          <w:t xml:space="preserve"> </w:t>
        </w:r>
        <w:r>
          <w:rPr>
            <w:rStyle w:val="Hyperlink"/>
          </w:rPr>
          <w:t>144</w:t>
        </w:r>
      </w:hyperlink>
      <w:r>
        <w:rPr>
          <w:rtl w:val="true"/>
        </w:rPr>
        <w:t xml:space="preserve"> </w:t>
      </w:r>
      <w:r>
        <w:rPr>
          <w:rtl w:val="true"/>
        </w:rPr>
        <w:t>ל</w:t>
      </w:r>
      <w:hyperlink r:id="rId5">
        <w:r>
          <w:rPr>
            <w:rStyle w:val="Hyperlink"/>
            <w:rtl w:val="true"/>
          </w:rPr>
          <w:t>חוק העונשין</w:t>
        </w:r>
      </w:hyperlink>
      <w:r>
        <w:rPr>
          <w:rtl w:val="true"/>
        </w:rPr>
        <w:t xml:space="preserve"> ויורשע עליה</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3</w:t>
      </w:r>
      <w:r>
        <w:rPr>
          <w:rtl w:val="true"/>
        </w:rPr>
        <w:t>.</w:t>
        <w:tab/>
      </w:r>
      <w:r>
        <w:rPr>
          <w:rtl w:val="true"/>
        </w:rPr>
        <w:t xml:space="preserve">שירות המבחן ערך תסקיר בעניינו של הנאשם </w:t>
      </w:r>
      <w:r>
        <w:rPr>
          <w:rtl w:val="true"/>
        </w:rPr>
        <w:t xml:space="preserve">. </w:t>
      </w:r>
      <w:r>
        <w:rPr>
          <w:rtl w:val="true"/>
        </w:rPr>
        <w:t>הנאשם קיבל אחריות על מעשיו וטען בפני קצין המבחן כי ביצע את העבירות על רקע סכסוך עם המתלונן</w:t>
      </w:r>
      <w:r>
        <w:rPr>
          <w:rtl w:val="true"/>
        </w:rPr>
        <w:t xml:space="preserve">. </w:t>
      </w:r>
      <w:r>
        <w:rPr>
          <w:rtl w:val="true"/>
        </w:rPr>
        <w:t>יחד עם זאת התקשה הנאשם לפרט את המניעים שהביאו אותו להתחברות עם שותפיו לעבירות</w:t>
      </w:r>
      <w:r>
        <w:rPr>
          <w:rtl w:val="true"/>
        </w:rPr>
        <w:t xml:space="preserve">. </w:t>
      </w:r>
      <w:r>
        <w:rPr>
          <w:rtl w:val="true"/>
        </w:rPr>
        <w:t>שירות המבחן התרשם כי לנאשם קשה לגייס כוחות לשם עריכת שינוי משמעותי באורחות חייו ונמנע ממתן המלצה טיפולית אודותיו</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4</w:t>
      </w:r>
      <w:r>
        <w:rPr>
          <w:rtl w:val="true"/>
        </w:rPr>
        <w:t>.</w:t>
        <w:tab/>
      </w:r>
      <w:r>
        <w:rPr>
          <w:rtl w:val="true"/>
        </w:rPr>
        <w:t xml:space="preserve">המתלונן הגיש מכתב שכתב בתאריך </w:t>
      </w:r>
      <w:r>
        <w:rPr/>
        <w:t>12.10.08</w:t>
      </w:r>
      <w:r>
        <w:rPr>
          <w:rtl w:val="true"/>
        </w:rPr>
        <w:t xml:space="preserve"> </w:t>
      </w:r>
      <w:r>
        <w:rPr>
          <w:rtl w:val="true"/>
        </w:rPr>
        <w:t>ובו פירט את נזקיו – כאשר עובר לפגיעתו היה בריא לחלוטין ופרנס בכבוד את בני משפחתו ולאחריו הוא סובל מבעיות נפשיות ונדודי שינה</w:t>
      </w:r>
      <w:r>
        <w:rPr>
          <w:rtl w:val="true"/>
        </w:rPr>
        <w:t xml:space="preserve">, </w:t>
      </w:r>
      <w:r>
        <w:rPr>
          <w:rtl w:val="true"/>
        </w:rPr>
        <w:t>עבר ניתוחים וסובל מנכות ברגלו</w:t>
      </w:r>
      <w:r>
        <w:rPr>
          <w:rtl w:val="true"/>
        </w:rPr>
        <w:t xml:space="preserve">. </w:t>
      </w:r>
      <w:r>
        <w:rPr>
          <w:rtl w:val="true"/>
        </w:rPr>
        <w:t>הוא טען כי הוציא הוצאות נכבדות על תרופות ונסיעות לבדיקות והדבר פגע כלכלית בבני משפחתו</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המתלונן התייצב בבית המשפט במעמד הטיעון לעונש וסיפר כי עשה סולחה עם משפחת הנאשם והוא מבקש לא למצות את הדין עם הנאשם</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5</w:t>
      </w:r>
      <w:r>
        <w:rPr>
          <w:rtl w:val="true"/>
        </w:rPr>
        <w:t>.</w:t>
        <w:tab/>
      </w:r>
      <w:r>
        <w:rPr>
          <w:rtl w:val="true"/>
        </w:rPr>
        <w:t>ב</w:t>
      </w:r>
      <w:r>
        <w:rPr>
          <w:rtl w:val="true"/>
        </w:rPr>
        <w:t>"</w:t>
      </w:r>
      <w:r>
        <w:rPr>
          <w:rtl w:val="true"/>
        </w:rPr>
        <w:t>כ המאשימה ביקשה להחמיר בעונשו של הנאשם</w:t>
      </w:r>
      <w:r>
        <w:rPr>
          <w:rtl w:val="true"/>
        </w:rPr>
        <w:t xml:space="preserve">, </w:t>
      </w:r>
      <w:r>
        <w:rPr>
          <w:rtl w:val="true"/>
        </w:rPr>
        <w:t>שביצע את העבירות בקור רוח</w:t>
      </w:r>
      <w:r>
        <w:rPr>
          <w:rtl w:val="true"/>
        </w:rPr>
        <w:t xml:space="preserve">, </w:t>
      </w:r>
      <w:r>
        <w:rPr>
          <w:rtl w:val="true"/>
        </w:rPr>
        <w:t>במרכז העיר</w:t>
      </w:r>
      <w:r>
        <w:rPr>
          <w:rtl w:val="true"/>
        </w:rPr>
        <w:t xml:space="preserve">, </w:t>
      </w:r>
      <w:r>
        <w:rPr>
          <w:rtl w:val="true"/>
        </w:rPr>
        <w:t>כאשר הוא גרם למתלונן נזקים קשים וכן פגע בעוברת אורח</w:t>
      </w:r>
      <w:r>
        <w:rPr>
          <w:rtl w:val="true"/>
        </w:rPr>
        <w:t xml:space="preserve">. </w:t>
      </w:r>
      <w:r>
        <w:rPr>
          <w:rtl w:val="true"/>
        </w:rPr>
        <w:t>היא הדגישה הן את האלימות ברחובות והצורך למגרה</w:t>
      </w:r>
      <w:r>
        <w:rPr>
          <w:rtl w:val="true"/>
        </w:rPr>
        <w:t xml:space="preserve">, </w:t>
      </w:r>
      <w:r>
        <w:rPr>
          <w:rtl w:val="true"/>
        </w:rPr>
        <w:t>והן את חומרת העבירות בנשק</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6</w:t>
      </w:r>
      <w:r>
        <w:rPr>
          <w:rtl w:val="true"/>
        </w:rPr>
        <w:t>.</w:t>
        <w:tab/>
      </w:r>
      <w:r>
        <w:rPr>
          <w:rtl w:val="true"/>
        </w:rPr>
        <w:t>ב</w:t>
      </w:r>
      <w:r>
        <w:rPr>
          <w:rtl w:val="true"/>
        </w:rPr>
        <w:t>"</w:t>
      </w:r>
      <w:r>
        <w:rPr>
          <w:rtl w:val="true"/>
        </w:rPr>
        <w:t>כ הנאשם טען כי מדובר בנאשם צעיר</w:t>
      </w:r>
      <w:r>
        <w:rPr>
          <w:rtl w:val="true"/>
        </w:rPr>
        <w:t xml:space="preserve">, </w:t>
      </w:r>
      <w:r>
        <w:rPr>
          <w:rtl w:val="true"/>
        </w:rPr>
        <w:t>שעברו אינו מכביד</w:t>
      </w:r>
      <w:r>
        <w:rPr>
          <w:rtl w:val="true"/>
        </w:rPr>
        <w:t xml:space="preserve">. </w:t>
      </w:r>
      <w:r>
        <w:rPr>
          <w:rtl w:val="true"/>
        </w:rPr>
        <w:t xml:space="preserve">הנאשם קיבל אחריות על מעשיו </w:t>
      </w:r>
      <w:r>
        <w:rPr>
          <w:rtl w:val="true"/>
        </w:rPr>
        <w:t xml:space="preserve">, </w:t>
      </w:r>
      <w:r>
        <w:rPr>
          <w:rtl w:val="true"/>
        </w:rPr>
        <w:t>הביע חרטה עליהם ואף הגיע לידי סולחה עם המתלונן</w:t>
      </w:r>
      <w:r>
        <w:rPr>
          <w:rtl w:val="true"/>
        </w:rPr>
        <w:t xml:space="preserve">. </w:t>
      </w:r>
      <w:r>
        <w:rPr>
          <w:rtl w:val="true"/>
        </w:rPr>
        <w:t>ב</w:t>
      </w:r>
      <w:r>
        <w:rPr>
          <w:rtl w:val="true"/>
        </w:rPr>
        <w:t>"</w:t>
      </w:r>
      <w:r>
        <w:rPr>
          <w:rtl w:val="true"/>
        </w:rPr>
        <w:t xml:space="preserve">כ הנאשם ביקש שלא למצות את הדין עם הנאשם ולקחת בחשבון את תקופת מעצרו – מאז </w:t>
      </w:r>
      <w:r>
        <w:rPr/>
        <w:t>9.12.07</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7</w:t>
      </w:r>
      <w:r>
        <w:rPr>
          <w:rtl w:val="true"/>
        </w:rPr>
        <w:t>.</w:t>
        <w:tab/>
      </w:r>
      <w:r>
        <w:rPr>
          <w:rtl w:val="true"/>
        </w:rPr>
        <w:t>הנאשם הביע חרטה על מעשיו וחזר וביקש סליחה מהמתלונן אשר היה נוכח באולם</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8</w:t>
      </w:r>
      <w:r>
        <w:rPr>
          <w:rtl w:val="true"/>
        </w:rPr>
        <w:t>.</w:t>
        <w:tab/>
      </w:r>
      <w:r>
        <w:rPr>
          <w:rtl w:val="true"/>
        </w:rPr>
        <w:t xml:space="preserve">אכן הנאשם צעיר והוא הודה בעבירות שיוחסו לו </w:t>
      </w:r>
      <w:r>
        <w:rPr>
          <w:rtl w:val="true"/>
        </w:rPr>
        <w:t>(</w:t>
      </w:r>
      <w:r>
        <w:rPr>
          <w:rtl w:val="true"/>
        </w:rPr>
        <w:t>אם גם לקראת סיום מסכת הראיות</w:t>
      </w:r>
      <w:r>
        <w:rPr>
          <w:rtl w:val="true"/>
        </w:rPr>
        <w:t xml:space="preserve">), </w:t>
      </w:r>
      <w:r>
        <w:rPr>
          <w:rtl w:val="true"/>
        </w:rPr>
        <w:t>קיבל אחריות על מעשיו והביע חרטה עליהם</w:t>
      </w:r>
      <w:r>
        <w:rPr>
          <w:rtl w:val="true"/>
        </w:rPr>
        <w:t xml:space="preserve">. </w:t>
      </w:r>
      <w:r>
        <w:rPr>
          <w:rtl w:val="true"/>
        </w:rPr>
        <w:t>יחד עם זאת – כאשר שיקולים אלה עומדים על כף המאזניים הם חייבים להדחות אל מול האינטרס הציבורי</w:t>
      </w:r>
      <w:r>
        <w:rPr>
          <w:rtl w:val="true"/>
        </w:rPr>
        <w:t xml:space="preserve">. </w:t>
      </w:r>
      <w:r>
        <w:rPr>
          <w:rtl w:val="true"/>
        </w:rPr>
        <w:t>וראה לאחרונה פסק דינו של כבוד השופט גרוניס ב</w:t>
      </w:r>
      <w:hyperlink r:id="rId6">
        <w:r>
          <w:rPr>
            <w:rStyle w:val="Hyperlink"/>
            <w:rtl w:val="true"/>
          </w:rPr>
          <w:t>ע</w:t>
        </w:r>
        <w:r>
          <w:rPr>
            <w:rStyle w:val="Hyperlink"/>
            <w:rtl w:val="true"/>
          </w:rPr>
          <w:t>"</w:t>
        </w:r>
        <w:r>
          <w:rPr>
            <w:rStyle w:val="Hyperlink"/>
            <w:rtl w:val="true"/>
          </w:rPr>
          <w:t xml:space="preserve">פ </w:t>
        </w:r>
        <w:r>
          <w:rPr>
            <w:rStyle w:val="Hyperlink"/>
          </w:rPr>
          <w:t>6260/05</w:t>
        </w:r>
      </w:hyperlink>
      <w:r>
        <w:rPr>
          <w:rtl w:val="true"/>
        </w:rPr>
        <w:t xml:space="preserve"> </w:t>
      </w:r>
      <w:r>
        <w:rPr>
          <w:rtl w:val="true"/>
        </w:rPr>
        <w:t>מאלק חדרה נ</w:t>
      </w:r>
      <w:r>
        <w:rPr>
          <w:rtl w:val="true"/>
        </w:rPr>
        <w:t xml:space="preserve">. </w:t>
      </w:r>
      <w:r>
        <w:rPr>
          <w:rtl w:val="true"/>
        </w:rPr>
        <w:t xml:space="preserve">מדינת ישראל </w:t>
      </w:r>
      <w:r>
        <w:rPr>
          <w:rtl w:val="true"/>
        </w:rPr>
        <w:t>(</w:t>
      </w:r>
      <w:r>
        <w:rPr>
          <w:rtl w:val="true"/>
        </w:rPr>
        <w:t>לא פורסם</w:t>
      </w:r>
      <w:r>
        <w:rPr>
          <w:rtl w:val="true"/>
        </w:rPr>
        <w:t>):</w:t>
      </w:r>
    </w:p>
    <w:p>
      <w:pPr>
        <w:pStyle w:val="Normal"/>
        <w:spacing w:lineRule="auto" w:line="360"/>
        <w:ind w:end="0"/>
        <w:jc w:val="both"/>
        <w:rPr/>
      </w:pPr>
      <w:r>
        <w:rPr>
          <w:rtl w:val="true"/>
        </w:rPr>
      </w:r>
    </w:p>
    <w:p>
      <w:pPr>
        <w:pStyle w:val="Normal"/>
        <w:spacing w:lineRule="auto" w:line="360"/>
        <w:ind w:start="1440" w:end="0"/>
        <w:jc w:val="both"/>
        <w:rPr/>
      </w:pPr>
      <w:r>
        <w:rPr>
          <w:b/>
          <w:bCs/>
          <w:rtl w:val="true"/>
        </w:rPr>
        <w:t>"</w:t>
      </w:r>
      <w:r>
        <w:rPr>
          <w:b/>
          <w:b/>
          <w:bCs/>
          <w:rtl w:val="true"/>
        </w:rPr>
        <w:t xml:space="preserve">שוב ושוב נתקלים אנו במקרים בהם נעשה שימוש בסכינים </w:t>
      </w:r>
      <w:r>
        <w:rPr>
          <w:b/>
          <w:bCs/>
          <w:rtl w:val="true"/>
        </w:rPr>
        <w:t>(</w:t>
      </w:r>
      <w:r>
        <w:rPr>
          <w:b/>
          <w:b/>
          <w:bCs/>
          <w:rtl w:val="true"/>
        </w:rPr>
        <w:t>או בנשק קר אחר ולפעמים אף בנשק חם</w:t>
      </w:r>
      <w:r>
        <w:rPr>
          <w:b/>
          <w:bCs/>
          <w:rtl w:val="true"/>
        </w:rPr>
        <w:t xml:space="preserve">) </w:t>
      </w:r>
      <w:r>
        <w:rPr>
          <w:b/>
          <w:b/>
          <w:bCs/>
          <w:rtl w:val="true"/>
        </w:rPr>
        <w:t>לשם יישוב סכסוכים</w:t>
      </w:r>
      <w:r>
        <w:rPr>
          <w:b/>
          <w:bCs/>
          <w:rtl w:val="true"/>
        </w:rPr>
        <w:t xml:space="preserve">, </w:t>
      </w:r>
      <w:r>
        <w:rPr>
          <w:b/>
          <w:b/>
          <w:bCs/>
          <w:rtl w:val="true"/>
        </w:rPr>
        <w:t>ולעיתים מדובר בסכסוכים שוליים ופעוטים ביותר</w:t>
      </w:r>
      <w:r>
        <w:rPr>
          <w:b/>
          <w:bCs/>
          <w:rtl w:val="true"/>
        </w:rPr>
        <w:t xml:space="preserve">. </w:t>
      </w:r>
      <w:r>
        <w:rPr>
          <w:b/>
          <w:b/>
          <w:bCs/>
          <w:rtl w:val="true"/>
        </w:rPr>
        <w:t>בשל ריבויים של מקרים אלה אין מנוס אלא לנקוט גישה מחמירה</w:t>
      </w:r>
      <w:r>
        <w:rPr>
          <w:b/>
          <w:bCs/>
          <w:rtl w:val="true"/>
        </w:rPr>
        <w:t xml:space="preserve">, </w:t>
      </w:r>
      <w:r>
        <w:rPr>
          <w:b/>
          <w:b/>
          <w:bCs/>
          <w:rtl w:val="true"/>
        </w:rPr>
        <w:t>לפיה ניתן משקל עודף לשיקולים כלליים על פני שיקולים אינדיווידואליים</w:t>
      </w:r>
      <w:r>
        <w:rPr>
          <w:b/>
          <w:bCs/>
          <w:rtl w:val="true"/>
        </w:rPr>
        <w:t xml:space="preserve">. </w:t>
      </w:r>
      <w:r>
        <w:rPr>
          <w:b/>
          <w:b/>
          <w:bCs/>
          <w:rtl w:val="true"/>
        </w:rPr>
        <w:t>כך אכן עשה בית משפט קמא</w:t>
      </w:r>
      <w:r>
        <w:rPr>
          <w:b/>
          <w:bCs/>
          <w:rtl w:val="true"/>
        </w:rPr>
        <w:t xml:space="preserve">. </w:t>
      </w:r>
      <w:r>
        <w:rPr>
          <w:b/>
          <w:b/>
          <w:bCs/>
          <w:rtl w:val="true"/>
        </w:rPr>
        <w:t>הגם שמדובר באדם צעיר</w:t>
      </w:r>
      <w:r>
        <w:rPr>
          <w:b/>
          <w:bCs/>
          <w:rtl w:val="true"/>
        </w:rPr>
        <w:t xml:space="preserve">, </w:t>
      </w:r>
      <w:r>
        <w:rPr>
          <w:b/>
          <w:b/>
          <w:bCs/>
          <w:rtl w:val="true"/>
        </w:rPr>
        <w:t>חסר עבר פלילי</w:t>
      </w:r>
      <w:r>
        <w:rPr>
          <w:b/>
          <w:bCs/>
          <w:rtl w:val="true"/>
        </w:rPr>
        <w:t xml:space="preserve">, </w:t>
      </w:r>
      <w:r>
        <w:rPr>
          <w:b/>
          <w:b/>
          <w:bCs/>
          <w:rtl w:val="true"/>
        </w:rPr>
        <w:t>ראוי היה להעדיף שיקולים של הרתעה כללית והגנה על שלום הציבור</w:t>
      </w:r>
      <w:r>
        <w:rPr>
          <w:b/>
          <w:bCs/>
          <w:rtl w:val="true"/>
        </w:rPr>
        <w:t>"</w:t>
      </w:r>
      <w:r>
        <w:rPr>
          <w:rtl w:val="true"/>
        </w:rPr>
        <w:t>.</w:t>
      </w:r>
    </w:p>
    <w:p>
      <w:pPr>
        <w:pStyle w:val="Normal"/>
        <w:spacing w:lineRule="auto" w:line="360"/>
        <w:ind w:start="720" w:end="0"/>
        <w:jc w:val="both"/>
        <w:rPr/>
      </w:pPr>
      <w:r>
        <w:rPr>
          <w:rtl w:val="true"/>
        </w:rPr>
        <w:t>(</w:t>
      </w:r>
      <w:r>
        <w:rPr>
          <w:rtl w:val="true"/>
        </w:rPr>
        <w:t xml:space="preserve">וכן ראה </w:t>
      </w:r>
      <w:hyperlink r:id="rId7">
        <w:r>
          <w:rPr>
            <w:rStyle w:val="Hyperlink"/>
            <w:rtl w:val="true"/>
          </w:rPr>
          <w:t>ע</w:t>
        </w:r>
        <w:r>
          <w:rPr>
            <w:rStyle w:val="Hyperlink"/>
            <w:rtl w:val="true"/>
          </w:rPr>
          <w:t>"</w:t>
        </w:r>
        <w:r>
          <w:rPr>
            <w:rStyle w:val="Hyperlink"/>
            <w:rtl w:val="true"/>
          </w:rPr>
          <w:t xml:space="preserve">פ </w:t>
        </w:r>
        <w:r>
          <w:rPr>
            <w:rStyle w:val="Hyperlink"/>
          </w:rPr>
          <w:t>6714/08</w:t>
        </w:r>
      </w:hyperlink>
      <w:r>
        <w:rPr>
          <w:rtl w:val="true"/>
        </w:rPr>
        <w:t xml:space="preserve"> </w:t>
      </w:r>
      <w:r>
        <w:rPr>
          <w:rtl w:val="true"/>
        </w:rPr>
        <w:t>מדינת ישראל נ</w:t>
      </w:r>
      <w:r>
        <w:rPr>
          <w:rtl w:val="true"/>
        </w:rPr>
        <w:t xml:space="preserve">. </w:t>
      </w:r>
      <w:r>
        <w:rPr>
          <w:rtl w:val="true"/>
        </w:rPr>
        <w:t>ווליד עבד אל חי ובאקר תאיה</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בענייננו הדברים מקבלים משנה תוקף כאשר מדובר בנשק חם וכאשר העבירות בוצעו כאשר תלוי ועומד נגד הנאשם מאסר על תנאי</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9</w:t>
      </w:r>
      <w:r>
        <w:rPr>
          <w:rtl w:val="true"/>
        </w:rPr>
        <w:t>.</w:t>
        <w:tab/>
      </w:r>
      <w:r>
        <w:rPr>
          <w:rtl w:val="true"/>
        </w:rPr>
        <w:t>על רף הענישה בעבירת החבלה בכוונה מחמירה  עמד לאחרונה בית המשפט העליון גם ב</w:t>
      </w:r>
      <w:hyperlink r:id="rId8">
        <w:r>
          <w:rPr>
            <w:rStyle w:val="Hyperlink"/>
            <w:rtl w:val="true"/>
          </w:rPr>
          <w:t>ע</w:t>
        </w:r>
        <w:r>
          <w:rPr>
            <w:rStyle w:val="Hyperlink"/>
            <w:rtl w:val="true"/>
          </w:rPr>
          <w:t>"</w:t>
        </w:r>
        <w:r>
          <w:rPr>
            <w:rStyle w:val="Hyperlink"/>
            <w:rtl w:val="true"/>
          </w:rPr>
          <w:t xml:space="preserve">פ </w:t>
        </w:r>
        <w:r>
          <w:rPr>
            <w:rStyle w:val="Hyperlink"/>
          </w:rPr>
          <w:t>1552/08</w:t>
        </w:r>
      </w:hyperlink>
      <w:r>
        <w:rPr>
          <w:rtl w:val="true"/>
        </w:rPr>
        <w:t xml:space="preserve"> </w:t>
      </w:r>
      <w:r>
        <w:rPr>
          <w:rtl w:val="true"/>
        </w:rPr>
        <w:t>משה פרטוש נ</w:t>
      </w:r>
      <w:r>
        <w:rPr>
          <w:rtl w:val="true"/>
        </w:rPr>
        <w:t xml:space="preserve">. </w:t>
      </w:r>
      <w:r>
        <w:rPr>
          <w:rtl w:val="true"/>
        </w:rPr>
        <w:t xml:space="preserve">מדינת ישראל </w:t>
      </w:r>
      <w:r>
        <w:rPr>
          <w:rtl w:val="true"/>
        </w:rPr>
        <w:t>(</w:t>
      </w:r>
      <w:r>
        <w:rPr>
          <w:rtl w:val="true"/>
        </w:rPr>
        <w:t xml:space="preserve">פסק דין מיום </w:t>
      </w:r>
      <w:r>
        <w:rPr/>
        <w:t>29.10.08</w:t>
      </w:r>
      <w:r>
        <w:rPr>
          <w:rtl w:val="true"/>
        </w:rPr>
        <w:t xml:space="preserve">), </w:t>
      </w:r>
      <w:r>
        <w:rPr>
          <w:rtl w:val="true"/>
        </w:rPr>
        <w:t xml:space="preserve">כאשר הוא מביע דעתו כי עונש של </w:t>
      </w:r>
      <w:r>
        <w:rPr/>
        <w:t>6</w:t>
      </w:r>
      <w:r>
        <w:rPr>
          <w:rtl w:val="true"/>
        </w:rPr>
        <w:t xml:space="preserve"> </w:t>
      </w:r>
      <w:r>
        <w:rPr>
          <w:rtl w:val="true"/>
        </w:rPr>
        <w:t xml:space="preserve">שנות מאסר בפועל </w:t>
      </w:r>
      <w:r>
        <w:rPr>
          <w:rtl w:val="true"/>
        </w:rPr>
        <w:t>"</w:t>
      </w:r>
      <w:r>
        <w:rPr>
          <w:rtl w:val="true"/>
        </w:rPr>
        <w:t>אינו חורג מרף הענישה המקובל בגין הרשעה בעבירה של חבלה בכוונה מחמירה והוא אף קרוב יותר לרף הענישה הנמוך הקיים</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אמנם</w:t>
      </w:r>
      <w:r>
        <w:rPr>
          <w:rtl w:val="true"/>
        </w:rPr>
        <w:t xml:space="preserve">, </w:t>
      </w:r>
      <w:r>
        <w:rPr>
          <w:rtl w:val="true"/>
        </w:rPr>
        <w:t xml:space="preserve">בהמשך עומד בית המשפט על הנסיבות האישיות של הנאשם ועל הצורך באיזון האינטרסים אך מסקנתו היא כי הנסיבות האישיות נדחות מול חומרת המעשים וכי </w:t>
      </w:r>
      <w:r>
        <w:rPr>
          <w:rtl w:val="true"/>
        </w:rPr>
        <w:t>"</w:t>
      </w:r>
      <w:r>
        <w:rPr>
          <w:rtl w:val="true"/>
        </w:rPr>
        <w:t>המאבק בתת תרבות הסכין רחוק מלהגיע לסופו ומשכך מוטלת עלינו החובה לשרש תופעה נפסדת זו וזאת על ידי החמרה בעונשם של מי שבחרו לפגוע בגופו של הזולת בסכינים או בכלי משחית אחר</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10</w:t>
      </w:r>
      <w:r>
        <w:rPr>
          <w:rtl w:val="true"/>
        </w:rPr>
        <w:t>.</w:t>
        <w:tab/>
      </w:r>
      <w:r>
        <w:rPr>
          <w:rtl w:val="true"/>
        </w:rPr>
        <w:t>בלוקחי בחשבון את כל האמור אני גוזרת על הנאשם</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t>40</w:t>
      </w:r>
      <w:r>
        <w:rPr>
          <w:rtl w:val="true"/>
        </w:rPr>
        <w:t xml:space="preserve"> </w:t>
      </w:r>
      <w:r>
        <w:rPr>
          <w:rtl w:val="true"/>
        </w:rPr>
        <w:t>חודשי מאסר בפועל</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אני מפעילה את עונש המאסר המותנה שנגזר על הנאשם ב</w:t>
      </w:r>
      <w:r>
        <w:rPr>
          <w:color w:val="000000"/>
          <w:rtl w:val="true"/>
        </w:rPr>
        <w:t>ת</w:t>
      </w:r>
      <w:r>
        <w:rPr>
          <w:color w:val="000000"/>
          <w:rtl w:val="true"/>
        </w:rPr>
        <w:t>.</w:t>
      </w:r>
      <w:r>
        <w:rPr>
          <w:color w:val="000000"/>
          <w:rtl w:val="true"/>
        </w:rPr>
        <w:t>פ</w:t>
      </w:r>
      <w:r>
        <w:rPr>
          <w:color w:val="000000"/>
          <w:rtl w:val="true"/>
        </w:rPr>
        <w:t xml:space="preserve">. </w:t>
      </w:r>
      <w:r>
        <w:rPr>
          <w:color w:val="000000"/>
        </w:rPr>
        <w:t>1131/06</w:t>
      </w:r>
      <w:r>
        <w:rPr>
          <w:rtl w:val="true"/>
        </w:rPr>
        <w:t xml:space="preserve"> </w:t>
      </w:r>
      <w:r>
        <w:rPr>
          <w:rtl w:val="true"/>
        </w:rPr>
        <w:t>בבימ</w:t>
      </w:r>
      <w:r>
        <w:rPr>
          <w:rtl w:val="true"/>
        </w:rPr>
        <w:t>"</w:t>
      </w:r>
      <w:r>
        <w:rPr>
          <w:rtl w:val="true"/>
        </w:rPr>
        <w:t>ש השלום בעכו</w:t>
      </w:r>
      <w:r>
        <w:rPr>
          <w:rtl w:val="true"/>
        </w:rPr>
        <w:t xml:space="preserve">, </w:t>
      </w:r>
      <w:r>
        <w:rPr>
          <w:rtl w:val="true"/>
        </w:rPr>
        <w:t xml:space="preserve">כאשר מתוכם </w:t>
      </w:r>
      <w:r>
        <w:rPr/>
        <w:t>4</w:t>
      </w:r>
      <w:r>
        <w:rPr>
          <w:rtl w:val="true"/>
        </w:rPr>
        <w:t xml:space="preserve"> </w:t>
      </w:r>
      <w:r>
        <w:rPr>
          <w:rtl w:val="true"/>
        </w:rPr>
        <w:t>חודשים ירוצו בחופף לעונש המאסר בתיק זה ו</w:t>
      </w:r>
      <w:r>
        <w:rPr>
          <w:rtl w:val="true"/>
        </w:rPr>
        <w:t xml:space="preserve">- </w:t>
      </w:r>
      <w:r>
        <w:rPr/>
        <w:t>4</w:t>
      </w:r>
      <w:r>
        <w:rPr>
          <w:rtl w:val="true"/>
        </w:rPr>
        <w:t xml:space="preserve"> </w:t>
      </w:r>
      <w:r>
        <w:rPr>
          <w:rtl w:val="true"/>
        </w:rPr>
        <w:t>חודשים במצטבר</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סה</w:t>
      </w:r>
      <w:r>
        <w:rPr>
          <w:rtl w:val="true"/>
        </w:rPr>
        <w:t>"</w:t>
      </w:r>
      <w:r>
        <w:rPr>
          <w:rtl w:val="true"/>
        </w:rPr>
        <w:t xml:space="preserve">כ ירצה הנאשם </w:t>
      </w:r>
      <w:r>
        <w:rPr/>
        <w:t>44</w:t>
      </w:r>
      <w:r>
        <w:rPr>
          <w:rtl w:val="true"/>
        </w:rPr>
        <w:t xml:space="preserve"> </w:t>
      </w:r>
      <w:r>
        <w:rPr>
          <w:rtl w:val="true"/>
        </w:rPr>
        <w:t>חודשי מאסר</w:t>
      </w:r>
      <w:r>
        <w:rPr>
          <w:rtl w:val="true"/>
        </w:rPr>
        <w:t xml:space="preserve">, </w:t>
      </w:r>
      <w:r>
        <w:rPr>
          <w:rtl w:val="true"/>
        </w:rPr>
        <w:t xml:space="preserve">כאשר מניין התקופה ימנה מיום מעצרו של הנאשם – </w:t>
      </w:r>
      <w:r>
        <w:rPr/>
        <w:t>9.12.07</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t>24</w:t>
      </w:r>
      <w:r>
        <w:rPr>
          <w:rtl w:val="true"/>
        </w:rPr>
        <w:t xml:space="preserve"> </w:t>
      </w:r>
      <w:r>
        <w:rPr>
          <w:rtl w:val="true"/>
        </w:rPr>
        <w:t>חודשי מאסר על תנאי</w:t>
      </w:r>
      <w:r>
        <w:rPr>
          <w:rtl w:val="true"/>
        </w:rPr>
        <w:t xml:space="preserve">, </w:t>
      </w:r>
      <w:r>
        <w:rPr>
          <w:rtl w:val="true"/>
        </w:rPr>
        <w:t xml:space="preserve">והתנאי הוא כי בתקופה של </w:t>
      </w:r>
      <w:r>
        <w:rPr/>
        <w:t>3</w:t>
      </w:r>
      <w:r>
        <w:rPr>
          <w:rtl w:val="true"/>
        </w:rPr>
        <w:t xml:space="preserve"> </w:t>
      </w:r>
      <w:r>
        <w:rPr>
          <w:rtl w:val="true"/>
        </w:rPr>
        <w:t>שנים ממועד שחרורו מן המאסר לא יעבור הנאשם עבירה מסוג פשע ויורשע עליה</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קנס בסך </w:t>
      </w:r>
      <w:r>
        <w:rPr/>
        <w:t>5,000</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פיצוי למתלונן בסך </w:t>
      </w:r>
      <w:r>
        <w:rPr/>
        <w:t>5,000</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pPr>
      <w:r>
        <w:rPr>
          <w:rtl w:val="true"/>
        </w:rPr>
        <w:t>הפיצוי והקנס ישולמו ב</w:t>
      </w:r>
      <w:r>
        <w:rPr>
          <w:rtl w:val="true"/>
        </w:rPr>
        <w:t xml:space="preserve">- </w:t>
      </w:r>
      <w:r>
        <w:rPr/>
        <w:t>10</w:t>
      </w:r>
      <w:r>
        <w:rPr>
          <w:rtl w:val="true"/>
        </w:rPr>
        <w:t xml:space="preserve"> </w:t>
      </w:r>
      <w:r>
        <w:rPr>
          <w:rtl w:val="true"/>
        </w:rPr>
        <w:t>תשלומים חודשיים שווים ורצופים</w:t>
      </w:r>
      <w:r>
        <w:rPr>
          <w:rtl w:val="true"/>
        </w:rPr>
        <w:t xml:space="preserve">, </w:t>
      </w:r>
      <w:r>
        <w:rPr>
          <w:rtl w:val="true"/>
        </w:rPr>
        <w:t>החל  ב</w:t>
      </w:r>
      <w:r>
        <w:rPr>
          <w:rtl w:val="true"/>
        </w:rPr>
        <w:t xml:space="preserve">- </w:t>
      </w:r>
      <w:r>
        <w:rPr/>
        <w:t>1.3.09</w:t>
      </w:r>
      <w:r>
        <w:rPr>
          <w:rtl w:val="true"/>
        </w:rPr>
        <w:t xml:space="preserve"> </w:t>
      </w:r>
      <w:r>
        <w:rPr>
          <w:rtl w:val="true"/>
        </w:rPr>
        <w:t xml:space="preserve">ובכל </w:t>
      </w:r>
      <w:r>
        <w:rPr/>
        <w:t>1</w:t>
      </w:r>
      <w:r>
        <w:rPr>
          <w:rtl w:val="true"/>
        </w:rPr>
        <w:t xml:space="preserve"> </w:t>
      </w:r>
      <w:r>
        <w:rPr>
          <w:rtl w:val="true"/>
        </w:rPr>
        <w:t>לחודש שלאחריו</w:t>
      </w:r>
      <w:r>
        <w:rPr>
          <w:rtl w:val="true"/>
        </w:rPr>
        <w:t>.</w:t>
      </w:r>
    </w:p>
    <w:p>
      <w:pPr>
        <w:pStyle w:val="Normal"/>
        <w:spacing w:lineRule="auto" w:line="360"/>
        <w:ind w:end="0"/>
        <w:jc w:val="both"/>
        <w:rPr/>
      </w:pPr>
      <w:r>
        <w:rPr>
          <w:rtl w:val="true"/>
        </w:rPr>
      </w:r>
    </w:p>
    <w:p>
      <w:pPr>
        <w:pStyle w:val="Normal"/>
        <w:spacing w:lineRule="auto" w:line="360"/>
        <w:ind w:end="0"/>
        <w:jc w:val="both"/>
        <w:rPr>
          <w:b/>
          <w:bCs/>
        </w:rPr>
      </w:pPr>
      <w:r>
        <w:rPr>
          <w:b/>
          <w:b/>
          <w:bCs/>
          <w:rtl w:val="true"/>
          <w:lang w:eastAsia="he-IL"/>
        </w:rPr>
        <w:t xml:space="preserve">והודעה זכות ערעור לבית המשפט העליון תוך </w:t>
      </w:r>
      <w:r>
        <w:rPr>
          <w:b/>
          <w:bCs/>
          <w:lang w:eastAsia="he-IL"/>
        </w:rPr>
        <w:t>45</w:t>
      </w:r>
      <w:r>
        <w:rPr>
          <w:b/>
          <w:bCs/>
          <w:rtl w:val="true"/>
          <w:lang w:eastAsia="he-IL"/>
        </w:rPr>
        <w:t xml:space="preserve"> </w:t>
      </w:r>
      <w:r>
        <w:rPr>
          <w:b/>
          <w:b/>
          <w:bCs/>
          <w:rtl w:val="true"/>
          <w:lang w:eastAsia="he-IL"/>
        </w:rPr>
        <w:t>ימים</w:t>
      </w:r>
      <w:r>
        <w:rPr>
          <w:b/>
          <w:bCs/>
          <w:rtl w:val="true"/>
          <w:lang w:eastAsia="he-IL"/>
        </w:rPr>
        <w:t>.</w:t>
      </w:r>
    </w:p>
    <w:p>
      <w:pPr>
        <w:pStyle w:val="Normal"/>
        <w:spacing w:lineRule="auto" w:line="360"/>
        <w:ind w:end="0"/>
        <w:jc w:val="both"/>
        <w:rPr>
          <w:sz w:val="6"/>
          <w:szCs w:val="6"/>
        </w:rPr>
      </w:pPr>
      <w:r>
        <w:rPr>
          <w:sz w:val="6"/>
          <w:szCs w:val="6"/>
          <w:rtl w:val="true"/>
        </w:rPr>
        <w:t>&lt;</w:t>
      </w:r>
      <w:r>
        <w:rPr>
          <w:sz w:val="6"/>
          <w:szCs w:val="6"/>
        </w:rPr>
        <w:t>#4#</w:t>
      </w:r>
      <w:r>
        <w:rPr>
          <w:sz w:val="6"/>
          <w:szCs w:val="6"/>
          <w:rtl w:val="true"/>
        </w:rPr>
        <w:t>&gt;</w:t>
      </w:r>
    </w:p>
    <w:p>
      <w:pPr>
        <w:pStyle w:val="Normal"/>
        <w:spacing w:lineRule="auto" w:line="360"/>
        <w:ind w:end="0"/>
        <w:jc w:val="end"/>
        <w:rPr/>
      </w:pPr>
      <w:r>
        <w:rPr>
          <w:vanish/>
          <w:highlight w:val="yellow"/>
          <w:rtl w:val="true"/>
        </w:rPr>
        <w:t>&lt;</w:t>
      </w:r>
    </w:p>
    <w:p>
      <w:pPr>
        <w:pStyle w:val="Normal"/>
        <w:spacing w:lineRule="auto" w:line="360"/>
        <w:ind w:end="0"/>
        <w:jc w:val="both"/>
        <w:rPr/>
      </w:pPr>
      <w:r>
        <w:rPr>
          <w:b/>
          <w:b/>
          <w:bCs/>
          <w:rtl w:val="true"/>
        </w:rPr>
        <w:t xml:space="preserve">ניתן והודעה היום </w:t>
      </w:r>
      <w:r>
        <w:rPr>
          <w:vanish/>
          <w:highlight w:val="yellow"/>
          <w:rtl w:val="true"/>
        </w:rPr>
        <w:t>&lt;</w:t>
      </w:r>
      <w:r>
        <w:rPr>
          <w:b/>
          <w:b/>
          <w:bCs/>
          <w:rtl w:val="true"/>
        </w:rPr>
        <w:t>ד</w:t>
      </w:r>
      <w:r>
        <w:rPr>
          <w:b/>
          <w:bCs/>
          <w:rtl w:val="true"/>
        </w:rPr>
        <w:t xml:space="preserve">' </w:t>
      </w:r>
      <w:r>
        <w:rPr>
          <w:b/>
          <w:b/>
          <w:bCs/>
          <w:rtl w:val="true"/>
        </w:rPr>
        <w:t>כסלו תשס</w:t>
      </w:r>
      <w:r>
        <w:rPr>
          <w:b/>
          <w:bCs/>
          <w:rtl w:val="true"/>
        </w:rPr>
        <w:t>"</w:t>
      </w:r>
      <w:r>
        <w:rPr>
          <w:b/>
          <w:b/>
          <w:bCs/>
          <w:rtl w:val="true"/>
        </w:rPr>
        <w:t>ט</w:t>
      </w:r>
      <w:r>
        <w:rPr>
          <w:vanish/>
          <w:highlight w:val="yellow"/>
          <w:rtl w:val="true"/>
        </w:rPr>
        <w:t>&gt;</w:t>
      </w:r>
      <w:r>
        <w:rPr>
          <w:b/>
          <w:bCs/>
          <w:rtl w:val="true"/>
        </w:rPr>
        <w:t xml:space="preserve">, </w:t>
      </w:r>
      <w:r>
        <w:rPr>
          <w:vanish/>
          <w:highlight w:val="yellow"/>
          <w:rtl w:val="true"/>
        </w:rPr>
        <w:t>&lt;</w:t>
      </w:r>
      <w:r>
        <w:rPr>
          <w:b/>
          <w:bCs/>
        </w:rPr>
        <w:t>01/12/2008</w:t>
      </w:r>
      <w:r>
        <w:rPr>
          <w:vanish/>
          <w:highlight w:val="yellow"/>
          <w:rtl w:val="true"/>
        </w:rPr>
        <w:t>&gt;</w:t>
      </w:r>
      <w:r>
        <w:rPr>
          <w:b/>
          <w:bCs/>
          <w:rtl w:val="true"/>
        </w:rPr>
        <w:t xml:space="preserve"> </w:t>
      </w:r>
      <w:r>
        <w:rPr>
          <w:b/>
          <w:b/>
          <w:bCs/>
          <w:rtl w:val="true"/>
        </w:rPr>
        <w:t>במעמד הנוכחים</w:t>
      </w:r>
      <w:r>
        <w:rPr>
          <w:b/>
          <w:bCs/>
          <w:rtl w:val="true"/>
        </w:rPr>
        <w:t>.</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tbl>
      <w:tblPr>
        <w:bidiVisual w:val="true"/>
        <w:tblW w:w="4608" w:type="dxa"/>
        <w:jc w:val="start"/>
        <w:tblInd w:w="198" w:type="dxa"/>
        <w:tblLayout w:type="fixed"/>
        <w:tblCellMar>
          <w:top w:w="0" w:type="dxa"/>
          <w:start w:w="108" w:type="dxa"/>
          <w:bottom w:w="0" w:type="dxa"/>
          <w:end w:w="108" w:type="dxa"/>
        </w:tblCellMar>
      </w:tblPr>
      <w:tblGrid>
        <w:gridCol w:w="4608"/>
      </w:tblGrid>
      <w:tr>
        <w:trPr/>
        <w:tc>
          <w:tcPr>
            <w:tcW w:w="4608" w:type="dxa"/>
            <w:tcBorders>
              <w:bottom w:val="single" w:sz="4" w:space="0" w:color="000000"/>
            </w:tcBorders>
          </w:tcPr>
          <w:p>
            <w:pPr>
              <w:pStyle w:val="Normal"/>
              <w:spacing w:lineRule="auto" w:line="360"/>
              <w:ind w:end="0"/>
              <w:jc w:val="both"/>
              <w:rPr>
                <w:rFonts w:ascii="Times New Roman" w:hAnsi="Times New Roman" w:eastAsia="Times New Roman" w:cs="FrankRuehl"/>
              </w:rPr>
            </w:pPr>
            <w:r>
              <w:rPr>
                <w:rFonts w:eastAsia="Times New Roman" w:cs="Times New Roman" w:ascii="Times New Roman" w:hAnsi="Times New Roman"/>
                <w:rtl w:val="true"/>
              </w:rPr>
              <w:t xml:space="preserve"> </w:t>
            </w:r>
            <w:r>
              <w:rPr>
                <w:rFonts w:eastAsia="Times New Roman" w:cs="Times New Roman" w:ascii="Times New Roman" w:hAnsi="Times New Roman"/>
                <w:rtl w:val="true"/>
              </w:rPr>
              <w:t xml:space="preserve"> </w:t>
            </w:r>
            <w:r>
              <w:rPr>
                <w:rFonts w:eastAsia="Times New Roman" w:cs="Times New Roman" w:ascii="Times New Roman" w:hAnsi="Times New Roman"/>
                <w:vanish/>
                <w:highlight w:val="yellow"/>
                <w:rtl w:val="true"/>
              </w:rPr>
              <w:t>&lt;&gt;</w:t>
            </w:r>
          </w:p>
        </w:tc>
      </w:tr>
      <w:tr>
        <w:trPr>
          <w:cantSplit w:val="true"/>
        </w:trPr>
        <w:tc>
          <w:tcPr>
            <w:tcW w:w="4608" w:type="dxa"/>
            <w:tcBorders>
              <w:top w:val="single" w:sz="4" w:space="0" w:color="000000"/>
            </w:tcBorders>
            <w:vAlign w:val="center"/>
          </w:tcPr>
          <w:p>
            <w:pPr>
              <w:pStyle w:val="Normal"/>
              <w:spacing w:lineRule="auto" w:line="360"/>
              <w:ind w:end="0"/>
              <w:jc w:val="center"/>
              <w:rPr>
                <w:rFonts w:ascii="Times New Roman" w:hAnsi="Times New Roman" w:eastAsia="Times New Roman" w:cs="Times New Roman"/>
                <w:b/>
                <w:bCs/>
              </w:rPr>
            </w:pPr>
            <w:r>
              <w:rPr>
                <w:rFonts w:eastAsia="Times New Roman" w:cs="Times New Roman" w:ascii="Times New Roman" w:hAnsi="Times New Roman"/>
                <w:vanish/>
                <w:highlight w:val="yellow"/>
                <w:rtl w:val="true"/>
              </w:rPr>
              <w:t>&lt;</w:t>
            </w:r>
            <w:r>
              <w:rPr>
                <w:rFonts w:ascii="Times New Roman" w:hAnsi="Times New Roman" w:eastAsia="Times New Roman" w:cs="Times New Roman"/>
                <w:b/>
                <w:b/>
                <w:bCs/>
                <w:rtl w:val="true"/>
              </w:rPr>
              <w:t>ברכה</w:t>
            </w:r>
            <w:r>
              <w:rPr>
                <w:rFonts w:eastAsia="Times New Roman" w:cs="Times New Roman" w:ascii="Times New Roman" w:hAnsi="Times New Roman"/>
                <w:vanish/>
                <w:highlight w:val="yellow"/>
                <w:rtl w:val="true"/>
              </w:rPr>
              <w:t>&gt;</w:t>
            </w:r>
            <w:r>
              <w:rPr>
                <w:rFonts w:eastAsia="Times New Roman" w:cs="Times New Roman" w:ascii="Times New Roman" w:hAnsi="Times New Roman"/>
                <w:b/>
                <w:bCs/>
                <w:rtl w:val="true"/>
              </w:rPr>
              <w:t xml:space="preserve"> </w:t>
            </w:r>
            <w:r>
              <w:rPr>
                <w:rFonts w:eastAsia="Times New Roman" w:cs="Times New Roman" w:ascii="Times New Roman" w:hAnsi="Times New Roman"/>
                <w:vanish/>
                <w:highlight w:val="yellow"/>
                <w:rtl w:val="true"/>
              </w:rPr>
              <w:t>&lt;</w:t>
            </w:r>
            <w:r>
              <w:rPr>
                <w:rFonts w:ascii="Times New Roman" w:hAnsi="Times New Roman" w:eastAsia="Times New Roman" w:cs="Times New Roman"/>
                <w:b/>
                <w:b/>
                <w:bCs/>
                <w:rtl w:val="true"/>
              </w:rPr>
              <w:t>בר</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זיו</w:t>
            </w:r>
            <w:r>
              <w:rPr>
                <w:rFonts w:eastAsia="Times New Roman" w:cs="Times New Roman" w:ascii="Times New Roman" w:hAnsi="Times New Roman"/>
                <w:vanish/>
                <w:highlight w:val="yellow"/>
                <w:rtl w:val="true"/>
              </w:rPr>
              <w:t>&gt;</w:t>
            </w:r>
            <w:r>
              <w:rPr>
                <w:rFonts w:eastAsia="Times New Roman" w:cs="Times New Roman" w:ascii="Times New Roman" w:hAnsi="Times New Roman"/>
                <w:b/>
                <w:bCs/>
                <w:rtl w:val="true"/>
              </w:rPr>
              <w:t xml:space="preserve">, </w:t>
            </w:r>
            <w:r>
              <w:rPr>
                <w:rFonts w:eastAsia="Times New Roman" w:cs="Times New Roman" w:ascii="Times New Roman" w:hAnsi="Times New Roman"/>
                <w:vanish/>
                <w:highlight w:val="yellow"/>
                <w:rtl w:val="true"/>
              </w:rPr>
              <w:t>&lt;</w:t>
            </w:r>
            <w:r>
              <w:rPr>
                <w:rFonts w:ascii="Times New Roman" w:hAnsi="Times New Roman" w:eastAsia="Times New Roman" w:cs="Times New Roman"/>
                <w:b/>
                <w:b/>
                <w:bCs/>
                <w:rtl w:val="true"/>
              </w:rPr>
              <w:t>שופטת</w:t>
            </w:r>
            <w:r>
              <w:rPr>
                <w:rFonts w:eastAsia="Times New Roman" w:cs="Times New Roman" w:ascii="Times New Roman" w:hAnsi="Times New Roman"/>
                <w:vanish/>
                <w:highlight w:val="yellow"/>
                <w:rtl w:val="true"/>
              </w:rPr>
              <w:t>&gt;</w:t>
            </w:r>
          </w:p>
        </w:tc>
      </w:tr>
    </w:tbl>
    <w:p>
      <w:pPr>
        <w:pStyle w:val="Normal"/>
        <w:spacing w:lineRule="auto" w:line="360"/>
        <w:ind w:end="0"/>
        <w:jc w:val="end"/>
        <w:rPr/>
      </w:pPr>
      <w:r>
        <w:rPr>
          <w:vanish/>
          <w:highlight w:val="yellow"/>
          <w:rtl w:val="true"/>
        </w:rPr>
        <w:t>&gt;</w:t>
      </w:r>
    </w:p>
    <w:p>
      <w:pPr>
        <w:pStyle w:val="Normal"/>
        <w:spacing w:lineRule="auto" w:line="360"/>
        <w:ind w:end="0"/>
        <w:jc w:val="start"/>
        <w:rPr/>
      </w:pPr>
      <w:r>
        <w:rPr>
          <w:rtl w:val="true"/>
        </w:rPr>
      </w:r>
    </w:p>
    <w:p>
      <w:pPr>
        <w:pStyle w:val="Normal"/>
        <w:spacing w:lineRule="auto" w:line="360"/>
        <w:ind w:end="0"/>
        <w:jc w:val="center"/>
        <w:rPr/>
      </w:pPr>
      <w:r>
        <w:rPr>
          <w:rtl w:val="true"/>
        </w:rPr>
      </w:r>
    </w:p>
    <w:p>
      <w:pPr>
        <w:pStyle w:val="Normal"/>
        <w:spacing w:lineRule="auto" w:line="360"/>
        <w:ind w:end="0"/>
        <w:jc w:val="both"/>
        <w:rPr>
          <w:u w:val="single"/>
        </w:rPr>
      </w:pPr>
      <w:r>
        <w:rPr>
          <w:u w:val="single"/>
          <w:rtl w:val="true"/>
        </w:rPr>
        <w:t>עו</w:t>
      </w:r>
      <w:r>
        <w:rPr>
          <w:u w:val="single"/>
          <w:rtl w:val="true"/>
        </w:rPr>
        <w:t>"</w:t>
      </w:r>
      <w:r>
        <w:rPr>
          <w:u w:val="single"/>
          <w:rtl w:val="true"/>
        </w:rPr>
        <w:t>ד עריד</w:t>
      </w:r>
      <w:r>
        <w:rPr>
          <w:u w:val="single"/>
          <w:rtl w:val="true"/>
        </w:rPr>
        <w:t>:</w:t>
      </w:r>
    </w:p>
    <w:p>
      <w:pPr>
        <w:pStyle w:val="Normal"/>
        <w:spacing w:lineRule="auto" w:line="360"/>
        <w:ind w:end="0"/>
        <w:jc w:val="both"/>
        <w:rPr/>
      </w:pPr>
      <w:r>
        <w:rPr>
          <w:rtl w:val="true"/>
        </w:rPr>
        <w:t xml:space="preserve">יוער שביום </w:t>
      </w:r>
      <w:r>
        <w:rPr/>
        <w:t>7/12/08</w:t>
      </w:r>
      <w:r>
        <w:rPr>
          <w:rtl w:val="true"/>
        </w:rPr>
        <w:t xml:space="preserve"> </w:t>
      </w:r>
      <w:r>
        <w:rPr>
          <w:rtl w:val="true"/>
        </w:rPr>
        <w:t>אמו של הנאשם אמורה לצאת למכה</w:t>
      </w:r>
      <w:r>
        <w:rPr>
          <w:rtl w:val="true"/>
        </w:rPr>
        <w:t xml:space="preserve">. </w:t>
      </w:r>
      <w:r>
        <w:rPr>
          <w:rtl w:val="true"/>
        </w:rPr>
        <w:t>מתבקש בית המשפט לעכב ביצוע ביום יומיים</w:t>
      </w:r>
      <w:r>
        <w:rPr>
          <w:rtl w:val="true"/>
        </w:rPr>
        <w:t xml:space="preserve">, </w:t>
      </w:r>
      <w:r>
        <w:rPr>
          <w:rtl w:val="true"/>
        </w:rPr>
        <w:t>ולשחרר את הנאשם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#5#</w:t>
      </w:r>
      <w:r>
        <w:rPr>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pPr>
      <w:r>
        <w:rPr>
          <w:rtl w:val="true"/>
        </w:rPr>
        <w:t>הבקשה נדחית</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#6#</w:t>
      </w:r>
      <w:r>
        <w:rPr>
          <w:sz w:val="6"/>
          <w:szCs w:val="6"/>
          <w:rtl w:val="true"/>
        </w:rPr>
        <w:t>&gt;</w:t>
      </w:r>
    </w:p>
    <w:p>
      <w:pPr>
        <w:pStyle w:val="Normal"/>
        <w:spacing w:lineRule="auto" w:line="360"/>
        <w:ind w:end="0"/>
        <w:jc w:val="end"/>
        <w:rPr/>
      </w:pPr>
      <w:r>
        <w:rPr>
          <w:vanish/>
          <w:highlight w:val="yellow"/>
          <w:rtl w:val="true"/>
        </w:rPr>
        <w:t>&lt;</w:t>
      </w:r>
    </w:p>
    <w:p>
      <w:pPr>
        <w:pStyle w:val="Normal"/>
        <w:spacing w:lineRule="auto" w:line="360"/>
        <w:ind w:end="0"/>
        <w:jc w:val="both"/>
        <w:rPr/>
      </w:pPr>
      <w:r>
        <w:rPr>
          <w:b/>
          <w:b/>
          <w:bCs/>
          <w:rtl w:val="true"/>
        </w:rPr>
        <w:t>ניתנה והודעה היום ד</w:t>
      </w:r>
      <w:r>
        <w:rPr>
          <w:b/>
          <w:bCs/>
          <w:rtl w:val="true"/>
        </w:rPr>
        <w:t xml:space="preserve">' </w:t>
      </w:r>
      <w:r>
        <w:rPr>
          <w:b/>
          <w:b/>
          <w:bCs/>
          <w:rtl w:val="true"/>
        </w:rPr>
        <w:t>כסלו תשס</w:t>
      </w:r>
      <w:r>
        <w:rPr>
          <w:b/>
          <w:bCs/>
          <w:rtl w:val="true"/>
        </w:rPr>
        <w:t>"</w:t>
      </w:r>
      <w:r>
        <w:rPr>
          <w:b/>
          <w:b/>
          <w:bCs/>
          <w:rtl w:val="true"/>
        </w:rPr>
        <w:t>ט</w:t>
      </w:r>
      <w:r>
        <w:rPr>
          <w:b/>
          <w:bCs/>
          <w:rtl w:val="true"/>
        </w:rPr>
        <w:t xml:space="preserve">, </w:t>
      </w:r>
      <w:r>
        <w:rPr>
          <w:b/>
          <w:bCs/>
        </w:rPr>
        <w:t>01/12/2008</w:t>
      </w:r>
      <w:r>
        <w:rPr>
          <w:b/>
          <w:bCs/>
          <w:rtl w:val="true"/>
        </w:rPr>
        <w:t xml:space="preserve"> </w:t>
      </w:r>
      <w:r>
        <w:rPr>
          <w:b/>
          <w:b/>
          <w:bCs/>
          <w:rtl w:val="true"/>
        </w:rPr>
        <w:t>במעמד הנוכחים</w:t>
      </w:r>
      <w:r>
        <w:rPr>
          <w:b/>
          <w:bCs/>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end="0"/>
        <w:jc w:val="both"/>
        <w:rPr>
          <w:color w:val="FFFFFF"/>
          <w:sz w:val="2"/>
          <w:szCs w:val="2"/>
        </w:rPr>
      </w:pPr>
      <w:r>
        <w:rPr>
          <w:color w:val="FFFFFF"/>
          <w:sz w:val="2"/>
          <w:szCs w:val="2"/>
          <w:rtl w:val="true"/>
        </w:rPr>
      </w:r>
    </w:p>
    <w:p>
      <w:pPr>
        <w:pStyle w:val="Normal"/>
        <w:spacing w:lineRule="auto" w:line="360"/>
        <w:ind w:end="0"/>
        <w:jc w:val="both"/>
        <w:rPr>
          <w:color w:val="FFFFFF"/>
          <w:sz w:val="2"/>
          <w:szCs w:val="2"/>
        </w:rPr>
      </w:pPr>
      <w:r>
        <w:rPr>
          <w:color w:val="FFFFFF"/>
          <w:sz w:val="2"/>
          <w:szCs w:val="2"/>
        </w:rPr>
        <w:t>5129371</w:t>
      </w:r>
    </w:p>
    <w:p>
      <w:pPr>
        <w:pStyle w:val="Normal"/>
        <w:keepNext w:val="true"/>
        <w:spacing w:lineRule="auto" w:line="360"/>
        <w:ind w:end="0"/>
        <w:jc w:val="start"/>
        <w:rPr>
          <w:color w:val="000000"/>
          <w:sz w:val="22"/>
          <w:szCs w:val="22"/>
        </w:rPr>
      </w:pPr>
      <w:r>
        <w:rPr>
          <w:color w:val="000000"/>
          <w:sz w:val="22"/>
          <w:szCs w:val="22"/>
          <w:rtl w:val="true"/>
        </w:rPr>
      </w:r>
    </w:p>
    <w:p>
      <w:pPr>
        <w:pStyle w:val="Normal"/>
        <w:spacing w:lineRule="auto" w:line="360"/>
        <w:ind w:end="0"/>
        <w:jc w:val="both"/>
        <w:rPr>
          <w:color w:val="FFFFFF"/>
          <w:sz w:val="2"/>
          <w:szCs w:val="2"/>
        </w:rPr>
      </w:pPr>
      <w:r>
        <w:rPr>
          <w:color w:val="FFFFFF"/>
          <w:sz w:val="2"/>
          <w:szCs w:val="2"/>
          <w:rtl w:val="true"/>
        </w:rPr>
      </w:r>
    </w:p>
    <w:p>
      <w:pPr>
        <w:pStyle w:val="Normal"/>
        <w:spacing w:lineRule="auto" w:line="360"/>
        <w:ind w:end="0"/>
        <w:jc w:val="both"/>
        <w:rPr>
          <w:color w:val="FFFFFF"/>
          <w:sz w:val="2"/>
          <w:szCs w:val="2"/>
        </w:rPr>
      </w:pPr>
      <w:r>
        <w:rPr>
          <w:color w:val="FFFFFF"/>
          <w:sz w:val="2"/>
          <w:szCs w:val="2"/>
        </w:rPr>
        <w:t>5129371</w:t>
      </w:r>
    </w:p>
    <w:p>
      <w:pPr>
        <w:pStyle w:val="Normal"/>
        <w:keepNext w:val="true"/>
        <w:spacing w:lineRule="auto" w:line="360"/>
        <w:ind w:end="0"/>
        <w:jc w:val="start"/>
        <w:rPr>
          <w:color w:val="000000"/>
          <w:sz w:val="22"/>
          <w:szCs w:val="22"/>
        </w:rPr>
      </w:pPr>
      <w:r>
        <w:rPr>
          <w:color w:val="000000"/>
          <w:sz w:val="22"/>
          <w:szCs w:val="22"/>
          <w:rtl w:val="true"/>
        </w:rPr>
      </w:r>
    </w:p>
    <w:p>
      <w:pPr>
        <w:pStyle w:val="Normal"/>
        <w:keepNext w:val="true"/>
        <w:spacing w:lineRule="auto" w:line="360"/>
        <w:ind w:end="0"/>
        <w:jc w:val="start"/>
        <w:rPr>
          <w:color w:val="000000"/>
          <w:sz w:val="22"/>
          <w:szCs w:val="22"/>
        </w:rPr>
      </w:pPr>
      <w:r>
        <w:rPr>
          <w:color w:val="000000"/>
          <w:sz w:val="22"/>
          <w:sz w:val="22"/>
          <w:szCs w:val="22"/>
          <w:rtl w:val="true"/>
        </w:rPr>
        <w:t xml:space="preserve">ברכה בר זיו </w:t>
      </w:r>
      <w:r>
        <w:rPr>
          <w:color w:val="000000"/>
          <w:sz w:val="22"/>
          <w:szCs w:val="22"/>
        </w:rPr>
        <w:t>54678313-6186/07</w:t>
      </w:r>
    </w:p>
    <w:p>
      <w:pPr>
        <w:pStyle w:val="Normal"/>
        <w:spacing w:lineRule="auto" w:line="360"/>
        <w:ind w:end="0"/>
        <w:jc w:val="both"/>
        <w:rPr/>
      </w:pPr>
      <w:r>
        <w:rPr>
          <w:color w:val="FFFFFF"/>
          <w:sz w:val="2"/>
          <w:szCs w:val="2"/>
        </w:rPr>
        <w:t>5467831354678313</w:t>
      </w:r>
    </w:p>
    <w:tbl>
      <w:tblPr>
        <w:bidiVisual w:val="true"/>
        <w:tblW w:w="4608" w:type="dxa"/>
        <w:jc w:val="start"/>
        <w:tblInd w:w="198" w:type="dxa"/>
        <w:tblLayout w:type="fixed"/>
        <w:tblCellMar>
          <w:top w:w="0" w:type="dxa"/>
          <w:start w:w="108" w:type="dxa"/>
          <w:bottom w:w="0" w:type="dxa"/>
          <w:end w:w="108" w:type="dxa"/>
        </w:tblCellMar>
      </w:tblPr>
      <w:tblGrid>
        <w:gridCol w:w="4608"/>
      </w:tblGrid>
      <w:tr>
        <w:trPr/>
        <w:tc>
          <w:tcPr>
            <w:tcW w:w="4608" w:type="dxa"/>
            <w:tcBorders>
              <w:bottom w:val="single" w:sz="4" w:space="0" w:color="000000"/>
            </w:tcBorders>
          </w:tcPr>
          <w:p>
            <w:pPr>
              <w:pStyle w:val="Normal"/>
              <w:spacing w:lineRule="auto" w:line="360"/>
              <w:ind w:end="0"/>
              <w:jc w:val="both"/>
              <w:rPr>
                <w:rFonts w:ascii="Times New Roman" w:hAnsi="Times New Roman" w:eastAsia="Times New Roman" w:cs="FrankRuehl"/>
              </w:rPr>
            </w:pPr>
            <w:r>
              <w:rPr>
                <w:rFonts w:eastAsia="Times New Roman" w:cs="Times New Roman" w:ascii="Times New Roman" w:hAnsi="Times New Roman"/>
                <w:rtl w:val="true"/>
              </w:rPr>
              <w:t xml:space="preserve"> </w:t>
            </w:r>
            <w:r>
              <w:rPr>
                <w:rFonts w:eastAsia="Times New Roman" w:cs="Times New Roman" w:ascii="Times New Roman" w:hAnsi="Times New Roman"/>
                <w:rtl w:val="true"/>
              </w:rPr>
              <w:t xml:space="preserve"> </w:t>
            </w:r>
            <w:r>
              <w:rPr>
                <w:rFonts w:eastAsia="Times New Roman" w:cs="Times New Roman" w:ascii="Times New Roman" w:hAnsi="Times New Roman"/>
                <w:vanish/>
                <w:highlight w:val="yellow"/>
                <w:rtl w:val="true"/>
              </w:rPr>
              <w:t>&lt;&gt;</w:t>
            </w:r>
          </w:p>
        </w:tc>
      </w:tr>
      <w:tr>
        <w:trPr>
          <w:cantSplit w:val="true"/>
        </w:trPr>
        <w:tc>
          <w:tcPr>
            <w:tcW w:w="4608" w:type="dxa"/>
            <w:tcBorders>
              <w:top w:val="single" w:sz="4" w:space="0" w:color="000000"/>
            </w:tcBorders>
            <w:vAlign w:val="center"/>
          </w:tcPr>
          <w:p>
            <w:pPr>
              <w:pStyle w:val="Normal"/>
              <w:spacing w:lineRule="auto" w:line="360"/>
              <w:ind w:end="0"/>
              <w:jc w:val="center"/>
              <w:rPr>
                <w:rFonts w:ascii="Times New Roman" w:hAnsi="Times New Roman" w:eastAsia="Times New Roman" w:cs="Times New Roman"/>
                <w:b/>
                <w:bCs/>
              </w:rPr>
            </w:pPr>
            <w:r>
              <w:rPr>
                <w:rFonts w:eastAsia="Times New Roman" w:cs="Times New Roman" w:ascii="Times New Roman" w:hAnsi="Times New Roman"/>
                <w:vanish/>
                <w:highlight w:val="yellow"/>
                <w:rtl w:val="true"/>
              </w:rPr>
              <w:t>&lt;</w:t>
            </w:r>
            <w:r>
              <w:rPr>
                <w:rFonts w:ascii="Times New Roman" w:hAnsi="Times New Roman" w:eastAsia="Times New Roman" w:cs="Times New Roman"/>
                <w:b/>
                <w:b/>
                <w:bCs/>
                <w:rtl w:val="true"/>
              </w:rPr>
              <w:t>ברכה</w:t>
            </w:r>
            <w:r>
              <w:rPr>
                <w:rFonts w:eastAsia="Times New Roman" w:cs="Times New Roman" w:ascii="Times New Roman" w:hAnsi="Times New Roman"/>
                <w:vanish/>
                <w:highlight w:val="yellow"/>
                <w:rtl w:val="true"/>
              </w:rPr>
              <w:t>&gt;</w:t>
            </w:r>
            <w:r>
              <w:rPr>
                <w:rFonts w:eastAsia="Times New Roman" w:cs="Times New Roman" w:ascii="Times New Roman" w:hAnsi="Times New Roman"/>
                <w:b/>
                <w:bCs/>
                <w:rtl w:val="true"/>
              </w:rPr>
              <w:t xml:space="preserve"> </w:t>
            </w:r>
            <w:r>
              <w:rPr>
                <w:rFonts w:eastAsia="Times New Roman" w:cs="Times New Roman" w:ascii="Times New Roman" w:hAnsi="Times New Roman"/>
                <w:vanish/>
                <w:highlight w:val="yellow"/>
                <w:rtl w:val="true"/>
              </w:rPr>
              <w:t>&lt;</w:t>
            </w:r>
            <w:r>
              <w:rPr>
                <w:rFonts w:ascii="Times New Roman" w:hAnsi="Times New Roman" w:eastAsia="Times New Roman" w:cs="Times New Roman"/>
                <w:b/>
                <w:b/>
                <w:bCs/>
                <w:rtl w:val="true"/>
              </w:rPr>
              <w:t>בר</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זיו</w:t>
            </w:r>
            <w:r>
              <w:rPr>
                <w:rFonts w:eastAsia="Times New Roman" w:cs="Times New Roman" w:ascii="Times New Roman" w:hAnsi="Times New Roman"/>
                <w:vanish/>
                <w:highlight w:val="yellow"/>
                <w:rtl w:val="true"/>
              </w:rPr>
              <w:t>&gt;</w:t>
            </w:r>
            <w:r>
              <w:rPr>
                <w:rFonts w:eastAsia="Times New Roman" w:cs="Times New Roman" w:ascii="Times New Roman" w:hAnsi="Times New Roman"/>
                <w:b/>
                <w:bCs/>
                <w:rtl w:val="true"/>
              </w:rPr>
              <w:t xml:space="preserve">, </w:t>
            </w:r>
            <w:r>
              <w:rPr>
                <w:rFonts w:eastAsia="Times New Roman" w:cs="Times New Roman" w:ascii="Times New Roman" w:hAnsi="Times New Roman"/>
                <w:vanish/>
                <w:highlight w:val="yellow"/>
                <w:rtl w:val="true"/>
              </w:rPr>
              <w:t>&lt;</w:t>
            </w:r>
            <w:r>
              <w:rPr>
                <w:rFonts w:ascii="Times New Roman" w:hAnsi="Times New Roman" w:eastAsia="Times New Roman" w:cs="Times New Roman"/>
                <w:b/>
                <w:b/>
                <w:bCs/>
                <w:rtl w:val="true"/>
              </w:rPr>
              <w:t>שופטת</w:t>
            </w:r>
            <w:r>
              <w:rPr>
                <w:rFonts w:eastAsia="Times New Roman" w:cs="Times New Roman" w:ascii="Times New Roman" w:hAnsi="Times New Roman"/>
                <w:vanish/>
                <w:highlight w:val="yellow"/>
                <w:rtl w:val="true"/>
              </w:rPr>
              <w:t>&gt;</w:t>
            </w:r>
          </w:p>
        </w:tc>
      </w:tr>
    </w:tbl>
    <w:p>
      <w:pPr>
        <w:pStyle w:val="Normal"/>
        <w:spacing w:lineRule="auto" w:line="360"/>
        <w:ind w:end="0"/>
        <w:jc w:val="end"/>
        <w:rPr/>
      </w:pPr>
      <w:r>
        <w:rPr>
          <w:vanish/>
          <w:highlight w:val="yellow"/>
          <w:rtl w:val="true"/>
        </w:rPr>
        <w:t>&gt;</w:t>
      </w:r>
    </w:p>
    <w:p>
      <w:pPr>
        <w:pStyle w:val="Normal"/>
        <w:spacing w:lineRule="auto" w:line="360"/>
        <w:ind w:end="0"/>
        <w:jc w:val="start"/>
        <w:rPr/>
      </w:pPr>
      <w:r>
        <w:rPr>
          <w:sz w:val="20"/>
          <w:sz w:val="20"/>
          <w:szCs w:val="20"/>
          <w:rtl w:val="true"/>
        </w:rPr>
        <w:t xml:space="preserve">קלדנית </w:t>
      </w:r>
      <w:r>
        <w:rPr>
          <w:sz w:val="20"/>
          <w:szCs w:val="20"/>
          <w:rtl w:val="true"/>
        </w:rPr>
        <w:t xml:space="preserve">- </w:t>
      </w:r>
      <w:r>
        <w:rPr>
          <w:sz w:val="20"/>
          <w:sz w:val="20"/>
          <w:szCs w:val="20"/>
          <w:rtl w:val="true"/>
        </w:rPr>
        <w:t>עדי שיטרית</w:t>
      </w:r>
    </w:p>
    <w:p>
      <w:pPr>
        <w:pStyle w:val="Normal"/>
        <w:ind w:end="0"/>
        <w:jc w:val="start"/>
        <w:rPr>
          <w:rFonts w:cs="FrankRuehl"/>
          <w:color w:val="000000"/>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vanish/>
          <w:highlight w:val="yellow"/>
          <w:rtl w:val="true"/>
        </w:rPr>
        <w:t>&lt;</w:t>
      </w:r>
      <w:r>
        <w:rPr>
          <w:rFonts w:ascii="Arial" w:hAnsi="Arial" w:cs="FrankRuehl"/>
          <w:sz w:val="28"/>
          <w:sz w:val="28"/>
          <w:szCs w:val="28"/>
          <w:rtl w:val="true"/>
        </w:rPr>
        <w:t>עדי</w:t>
      </w:r>
      <w:r>
        <w:rPr>
          <w:rFonts w:ascii="Arial" w:hAnsi="Arial" w:eastAsia="Arial" w:cs="Arial"/>
          <w:sz w:val="28"/>
          <w:sz w:val="28"/>
          <w:szCs w:val="28"/>
          <w:rtl w:val="true"/>
        </w:rPr>
        <w:t xml:space="preserve"> </w:t>
      </w:r>
      <w:r>
        <w:rPr>
          <w:rFonts w:ascii="Arial" w:hAnsi="Arial" w:cs="FrankRuehl"/>
          <w:sz w:val="28"/>
          <w:sz w:val="28"/>
          <w:szCs w:val="28"/>
          <w:rtl w:val="true"/>
        </w:rPr>
        <w:t>שטרית</w:t>
      </w:r>
      <w:r>
        <w:rPr>
          <w:vanish/>
          <w:highlight w:val="yellow"/>
          <w:rtl w:val="true"/>
        </w:rPr>
        <w:t>&gt;</w:t>
      </w:r>
    </w:p>
    <w:p>
      <w:pPr>
        <w:pStyle w:val="Normal"/>
        <w:ind w:end="0"/>
        <w:jc w:val="start"/>
        <w:rPr/>
      </w:pPr>
      <w:r>
        <w:rPr>
          <w:rtl w:val="true"/>
        </w:rPr>
        <w:t>נוסח מסמך זה כפוף לשינויי ניסוח ועריכה</w:t>
      </w:r>
    </w:p>
    <w:sectPr>
      <w:headerReference w:type="default" r:id="rId9"/>
      <w:footerReference w:type="default" r:id="rId10"/>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5</w:t>
    </w:r>
    <w:r>
      <w:rPr>
        <w:rtl w:val="true"/>
        <w:rFonts w:cs="FrankRuehl" w:ascii="FrankRuehl" w:hAnsi="FrankRuehl"/>
      </w:rPr>
      <w:fldChar w:fldCharType="end"/>
    </w:r>
  </w:p>
  <w:p>
    <w:pPr>
      <w:pStyle w:val="Footer"/>
      <w:pBdr>
        <w:top w:val="single" w:sz="4" w:space="1" w:color="000000"/>
      </w:pBdr>
      <w:spacing w:before="0" w:after="60"/>
      <w:ind w:end="0"/>
      <w:jc w:val="center"/>
      <w:rPr/>
    </w:pPr>
    <w:r>
      <w:rPr>
        <w:rFonts w:ascii="Times New Roman" w:hAnsi="Times New Roman" w:cs="Times New Roman"/>
        <w:color w:val="000000"/>
        <w:sz w:val="28"/>
        <w:sz w:val="28"/>
        <w:szCs w:val="22"/>
        <w:rtl w:val="true"/>
      </w:rPr>
      <w:t>נבו הוצאה לאור בע</w:t>
    </w:r>
    <w:r>
      <w:rPr>
        <w:rFonts w:cs="Times New Roman" w:ascii="Times New Roman" w:hAnsi="Times New Roman"/>
        <w:color w:val="000000"/>
        <w:sz w:val="28"/>
        <w:szCs w:val="22"/>
        <w:rtl w:val="true"/>
      </w:rPr>
      <w:t>"</w:t>
    </w:r>
    <w:r>
      <w:rPr>
        <w:rFonts w:ascii="Times New Roman" w:hAnsi="Times New Roman" w:cs="Times New Roman"/>
        <w:color w:val="000000"/>
        <w:sz w:val="28"/>
        <w:sz w:val="28"/>
        <w:szCs w:val="22"/>
        <w:rtl w:val="true"/>
      </w:rPr>
      <w:t xml:space="preserve">מ  </w:t>
    </w:r>
    <w:r>
      <w:rPr>
        <w:rFonts w:cs="Times New Roman" w:ascii="Times New Roman" w:hAnsi="Times New Roman"/>
        <w:color w:val="000000"/>
        <w:sz w:val="28"/>
        <w:szCs w:val="22"/>
      </w:rPr>
      <w:t>nevo.co.il</w:t>
    </w:r>
    <w:r>
      <w:rPr>
        <w:rFonts w:cs="Times New Roman" w:ascii="Times New Roman" w:hAnsi="Times New Roman"/>
        <w:color w:val="000000"/>
        <w:sz w:val="28"/>
        <w:szCs w:val="22"/>
        <w:rtl w:val="true"/>
      </w:rPr>
      <w:t xml:space="preserve">   </w:t>
    </w:r>
    <w:r>
      <w:rPr>
        <w:rFonts w:ascii="Times New Roman" w:hAnsi="Times New Roman" w:cs="Times New Roman"/>
        <w:color w:val="000000"/>
        <w:sz w:val="28"/>
        <w:sz w:val="28"/>
        <w:szCs w:val="22"/>
        <w:rtl w:val="true"/>
      </w:rPr>
      <w:t>המאגר המשפטי הישראלי</w:t>
    </w:r>
  </w:p>
  <w:p>
    <w:pPr>
      <w:pStyle w:val="Footer"/>
      <w:pBdr>
        <w:top w:val="single" w:sz="4" w:space="1" w:color="000000"/>
      </w:pBdr>
      <w:ind w:end="0"/>
      <w:jc w:val="start"/>
      <w:rPr>
        <w:rFonts w:ascii="Times New Roman" w:hAnsi="Times New Roman" w:cs="Times New Roman"/>
        <w:color w:val="000000"/>
        <w:sz w:val="14"/>
        <w:szCs w:val="14"/>
      </w:rPr>
    </w:pPr>
    <w:r>
      <w:rPr>
        <w:rFonts w:cs="Times New Roman" w:ascii="Times New Roman" w:hAnsi="Times New Roman"/>
        <w:color w:val="000000"/>
        <w:sz w:val="14"/>
        <w:szCs w:val="14"/>
        <w:rtl w:val="true"/>
      </w:rPr>
      <w:fldChar w:fldCharType="begin"/>
    </w:r>
    <w:r>
      <w:rPr>
        <w:rtl w:val="true"/>
        <w:sz w:val="14"/>
        <w:szCs w:val="14"/>
        <w:rFonts w:cs="Times New Roman" w:ascii="Times New Roman" w:hAnsi="Times New Roman"/>
        <w:color w:val="000000"/>
      </w:rPr>
      <w:instrText xml:space="preserve"> FILENAME \p </w:instrText>
    </w:r>
    <w:r>
      <w:rPr>
        <w:rtl w:val="true"/>
        <w:sz w:val="14"/>
        <w:szCs w:val="14"/>
        <w:rFonts w:cs="Times New Roman" w:ascii="Times New Roman" w:hAnsi="Times New Roman"/>
        <w:color w:val="000000"/>
      </w:rPr>
      <w:fldChar w:fldCharType="separate"/>
    </w:r>
    <w:r>
      <w:rPr>
        <w:rtl w:val="true"/>
        <w:sz w:val="14"/>
        <w:szCs w:val="14"/>
        <w:rFonts w:cs="Times New Roman" w:ascii="Times New Roman" w:hAnsi="Times New Roman"/>
        <w:color w:val="000000"/>
      </w:rPr>
      <w:t>/Users/liorb/Downloads/study2025-p2/ME-07-6186.doc</w:t>
    </w:r>
    <w:r>
      <w:rPr>
        <w:rtl w:val="true"/>
        <w:sz w:val="14"/>
        <w:szCs w:val="14"/>
        <w:rFonts w:cs="Times New Roman" w:ascii="Times New Roman" w:hAns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חי</w:t>
    </w:r>
    <w:r>
      <w:rPr>
        <w:color w:val="000000"/>
        <w:sz w:val="22"/>
        <w:szCs w:val="22"/>
        <w:rtl w:val="true"/>
      </w:rPr>
      <w:t xml:space="preserve">') </w:t>
    </w:r>
    <w:r>
      <w:rPr>
        <w:color w:val="000000"/>
        <w:sz w:val="22"/>
        <w:szCs w:val="22"/>
      </w:rPr>
      <w:t>6186-07</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 xml:space="preserve">קיאל קשאש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DisplayIdentifier" w:val="6186-07"/>
    <w:docVar w:name="caseId" w:val="7229844"/>
    <w:docVar w:name="deriveClass" w:val="NGCS.Protocol.BL.Client.ProtocolBLClientCriminal"/>
    <w:docVar w:name="firstPageNumber" w:val="83"/>
    <w:docVar w:name="MyInfo" w:val="This document was extracted from Nevo's site"/>
    <w:docVar w:name="NGCS.isReservedAddressPlace" w:val="0"/>
    <w:docVar w:name="NGCS.isReservedVoucherPlace" w:val="0"/>
    <w:docVar w:name="NGCS.TemplateCategoryID" w:val="14"/>
    <w:docVar w:name="privellegeId" w:val="1"/>
    <w:docVar w:name="protocolId" w:val="178136"/>
    <w:docVar w:name="releaseSign" w:val="0"/>
    <w:docVar w:name="sittingDateTime" w:val="01/12/2008 11:00     "/>
    <w:docVar w:name="sittingId" w:val="7501210"/>
    <w:docVar w:name="sittingTypeId" w:val="2"/>
    <w:docVar w:name="WordClientAssemblyName" w:val="NGCS.Protocol.BL.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b/>
      <w:bCs/>
      <w:i/>
      <w:iCs/>
    </w:rPr>
  </w:style>
  <w:style w:type="paragraph" w:styleId="Heading3">
    <w:name w:val="heading 3"/>
    <w:basedOn w:val="Normal"/>
    <w:next w:val="Normal"/>
    <w:qFormat/>
    <w:pPr>
      <w:keepNext w:val="true"/>
      <w:numPr>
        <w:ilvl w:val="2"/>
        <w:numId w:val="1"/>
      </w:numPr>
      <w:spacing w:before="240" w:after="60"/>
      <w:outlineLvl w:val="2"/>
    </w:pPr>
    <w:rPr>
      <w:b/>
      <w:bCs/>
      <w:sz w:val="26"/>
      <w:szCs w:val="26"/>
    </w:rPr>
  </w:style>
  <w:style w:type="character" w:styleId="WW8Num5z0">
    <w:name w:val="WW8Num5z0"/>
    <w:qFormat/>
    <w:rPr/>
  </w:style>
  <w:style w:type="character" w:styleId="WW8Num7z0">
    <w:name w:val="WW8Num7z0"/>
    <w:qFormat/>
    <w:rPr/>
  </w:style>
  <w:style w:type="character" w:styleId="WW8Num11z0">
    <w:name w:val="WW8Num11z0"/>
    <w:qFormat/>
    <w:rPr/>
  </w:style>
  <w:style w:type="character" w:styleId="WW8Num12z0">
    <w:name w:val="WW8Num12z0"/>
    <w:qFormat/>
    <w:rPr/>
  </w:style>
  <w:style w:type="character" w:styleId="DefaultParagraphFont">
    <w:name w:val="Default Paragraph Font"/>
    <w:qFormat/>
    <w:rPr/>
  </w:style>
  <w:style w:type="character" w:styleId="CommentReference">
    <w:name w:val="Comment Reference"/>
    <w:basedOn w:val="DefaultParagraphFont"/>
    <w:qFormat/>
    <w:rPr>
      <w:sz w:val="16"/>
      <w:szCs w:val="16"/>
    </w:rPr>
  </w:style>
  <w:style w:type="character" w:styleId="PageNumber">
    <w:name w:val="page number"/>
    <w:basedOn w:val="DefaultParagraphFont"/>
    <w:rPr/>
  </w:style>
  <w:style w:type="character" w:styleId="LineNumber">
    <w:name w:val="line number"/>
    <w:basedOn w:val="DefaultParagraphFont"/>
    <w:rPr>
      <w:rFonts w:cs="Arial"/>
      <w:szCs w:val="20"/>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rFonts w:ascii="Times New Roman" w:hAnsi="Times New Roman" w:eastAsia="Times New Roman" w:cs="Times New Roman"/>
      <w:sz w:val="20"/>
      <w:szCs w:val="20"/>
    </w:rPr>
  </w:style>
  <w:style w:type="paragraph" w:styleId="BalloonText">
    <w:name w:val="Balloon Text"/>
    <w:basedOn w:val="Normal"/>
    <w:qFormat/>
    <w:pPr/>
    <w:rPr>
      <w:rFonts w:ascii="Tahoma" w:hAnsi="Tahoma" w:cs="Tahoma"/>
      <w:sz w:val="16"/>
      <w:szCs w:val="16"/>
    </w:rPr>
  </w:style>
  <w:style w:type="paragraph" w:styleId="12">
    <w:name w:val="רגיל + ‏12 נק'"/>
    <w:basedOn w:val="Normal"/>
    <w:qFormat/>
    <w:pPr/>
    <w:rPr>
      <w:rFonts w:ascii="Times New Roman" w:hAnsi="Times New Roman" w:eastAsia="Times New Roman"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 TargetMode="External"/><Relationship Id="rId4" Type="http://schemas.openxmlformats.org/officeDocument/2006/relationships/hyperlink" Target="http://www.nevo.co.il/law/70301/144" TargetMode="External"/><Relationship Id="rId5" Type="http://schemas.openxmlformats.org/officeDocument/2006/relationships/hyperlink" Target="http://www.nevo.co.il/law/70301" TargetMode="External"/><Relationship Id="rId6" Type="http://schemas.openxmlformats.org/officeDocument/2006/relationships/hyperlink" Target="http://www.nevo.co.il/case/6056840" TargetMode="External"/><Relationship Id="rId7" Type="http://schemas.openxmlformats.org/officeDocument/2006/relationships/hyperlink" Target="http://www.nevo.co.il/case/6079403" TargetMode="External"/><Relationship Id="rId8" Type="http://schemas.openxmlformats.org/officeDocument/2006/relationships/hyperlink" Target="http://www.nevo.co.il/case/5743421"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2017-02-02T15:51:00Z</dcterms:created>
  <dc:creator> </dc:creator>
  <dc:description/>
  <cp:keywords/>
  <dc:language>en-IL</dc:language>
  <cp:lastModifiedBy>Tali-a</cp:lastModifiedBy>
  <cp:lastPrinted>2008-12-01T11:54:00Z</cp:lastPrinted>
  <dcterms:modified xsi:type="dcterms:W3CDTF">2017-02-02T15:51:00Z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קיאל קשאש </vt:lpwstr>
  </property>
  <property fmtid="{D5CDD505-2E9C-101B-9397-08002B2CF9AE}" pid="4" name="CASENOTES1">
    <vt:lpwstr>ProcID=209&amp;PartA=1131&amp;PartC=06</vt:lpwstr>
  </property>
  <property fmtid="{D5CDD505-2E9C-101B-9397-08002B2CF9AE}" pid="5" name="CASESLISTTMP1">
    <vt:lpwstr>6056840;6079403;5743421</vt:lpwstr>
  </property>
  <property fmtid="{D5CDD505-2E9C-101B-9397-08002B2CF9AE}" pid="6" name="CITY">
    <vt:lpwstr>חי'</vt:lpwstr>
  </property>
  <property fmtid="{D5CDD505-2E9C-101B-9397-08002B2CF9AE}" pid="7" name="DATE">
    <vt:lpwstr>20081201</vt:lpwstr>
  </property>
  <property fmtid="{D5CDD505-2E9C-101B-9397-08002B2CF9AE}" pid="8" name="DELEMATA">
    <vt:lpwstr/>
  </property>
  <property fmtid="{D5CDD505-2E9C-101B-9397-08002B2CF9AE}" pid="9" name="JUDGE">
    <vt:lpwstr>ברכה בר זיו</vt:lpwstr>
  </property>
  <property fmtid="{D5CDD505-2E9C-101B-9397-08002B2CF9AE}" pid="10" name="LAWLISTTMP1">
    <vt:lpwstr>70301/144</vt:lpwstr>
  </property>
  <property fmtid="{D5CDD505-2E9C-101B-9397-08002B2CF9AE}" pid="11" name="LAWYER">
    <vt:lpwstr>בוגדנוב;עריד</vt:lpwstr>
  </property>
  <property fmtid="{D5CDD505-2E9C-101B-9397-08002B2CF9AE}" pid="12" name="LINKK1">
    <vt:lpwstr/>
  </property>
  <property fmtid="{D5CDD505-2E9C-101B-9397-08002B2CF9AE}" pid="13" name="LINKK10">
    <vt:lpwstr/>
  </property>
  <property fmtid="{D5CDD505-2E9C-101B-9397-08002B2CF9AE}" pid="14" name="LINKK11">
    <vt:lpwstr/>
  </property>
  <property fmtid="{D5CDD505-2E9C-101B-9397-08002B2CF9AE}" pid="15" name="LINKK12">
    <vt:lpwstr/>
  </property>
  <property fmtid="{D5CDD505-2E9C-101B-9397-08002B2CF9AE}" pid="16" name="LINKK2">
    <vt:lpwstr/>
  </property>
  <property fmtid="{D5CDD505-2E9C-101B-9397-08002B2CF9AE}" pid="17" name="LINKK3">
    <vt:lpwstr/>
  </property>
  <property fmtid="{D5CDD505-2E9C-101B-9397-08002B2CF9AE}" pid="18" name="LINKK4">
    <vt:lpwstr/>
  </property>
  <property fmtid="{D5CDD505-2E9C-101B-9397-08002B2CF9AE}" pid="19" name="LINKK5">
    <vt:lpwstr/>
  </property>
  <property fmtid="{D5CDD505-2E9C-101B-9397-08002B2CF9AE}" pid="20" name="LINKK6">
    <vt:lpwstr/>
  </property>
  <property fmtid="{D5CDD505-2E9C-101B-9397-08002B2CF9AE}" pid="21" name="LINKK7">
    <vt:lpwstr/>
  </property>
  <property fmtid="{D5CDD505-2E9C-101B-9397-08002B2CF9AE}" pid="22" name="LINKK8">
    <vt:lpwstr/>
  </property>
  <property fmtid="{D5CDD505-2E9C-101B-9397-08002B2CF9AE}" pid="23" name="LINKK9">
    <vt:lpwstr/>
  </property>
  <property fmtid="{D5CDD505-2E9C-101B-9397-08002B2CF9AE}" pid="24" name="NEWPARTA">
    <vt:lpwstr>6186</vt:lpwstr>
  </property>
  <property fmtid="{D5CDD505-2E9C-101B-9397-08002B2CF9AE}" pid="25" name="NEWPARTB">
    <vt:lpwstr/>
  </property>
  <property fmtid="{D5CDD505-2E9C-101B-9397-08002B2CF9AE}" pid="26" name="NEWPARTC">
    <vt:lpwstr>07</vt:lpwstr>
  </property>
  <property fmtid="{D5CDD505-2E9C-101B-9397-08002B2CF9AE}" pid="27" name="NEWPROC">
    <vt:lpwstr>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6186</vt:lpwstr>
  </property>
  <property fmtid="{D5CDD505-2E9C-101B-9397-08002B2CF9AE}" pid="33" name="PROCYEAR">
    <vt:lpwstr>07</vt:lpwstr>
  </property>
  <property fmtid="{D5CDD505-2E9C-101B-9397-08002B2CF9AE}" pid="34" name="PSAKDIN">
    <vt:lpwstr>גזר-דין</vt:lpwstr>
  </property>
  <property fmtid="{D5CDD505-2E9C-101B-9397-08002B2CF9AE}" pid="35" name="TYPE">
    <vt:lpwstr>2</vt:lpwstr>
  </property>
  <property fmtid="{D5CDD505-2E9C-101B-9397-08002B2CF9AE}" pid="36" name="TYPE_ABS_DATE">
    <vt:lpwstr>390020081201</vt:lpwstr>
  </property>
  <property fmtid="{D5CDD505-2E9C-101B-9397-08002B2CF9AE}" pid="37" name="TYPE_N_DATE">
    <vt:lpwstr>39020081201</vt:lpwstr>
  </property>
  <property fmtid="{D5CDD505-2E9C-101B-9397-08002B2CF9AE}" pid="38" name="VOLUME">
    <vt:lpwstr/>
  </property>
  <property fmtid="{D5CDD505-2E9C-101B-9397-08002B2CF9AE}" pid="39" name="WORDNUMPAGES">
    <vt:lpwstr>5</vt:lpwstr>
  </property>
</Properties>
</file>