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63018-05-18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68160-05-18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קבלאוי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מחאמיד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קבלאוי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נגד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7/11/18</w:t>
      </w:r>
      <w:r>
        <w:rPr>
          <w:rtl w:val="true"/>
        </w:rPr>
        <w:t xml:space="preserve"> 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bookmarkStart w:id="5" w:name="ABSTRACT_END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16/05/18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08:20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ירוקי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העפר</w:t>
      </w:r>
      <w:r>
        <w:rPr>
          <w:rtl w:val="true"/>
        </w:rPr>
        <w:t xml:space="preserve">)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>,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bCs/>
        </w:rPr>
      </w:pPr>
      <w:bookmarkStart w:id="7" w:name="LawTable_End"/>
      <w:bookmarkEnd w:id="7"/>
      <w:r>
        <w:rPr>
          <w:bCs/>
          <w:rtl w:val="true"/>
        </w:rPr>
        <w:t>נשק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ארוך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מסוג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"</w:t>
      </w:r>
      <w:r>
        <w:rPr>
          <w:bCs/>
          <w:rtl w:val="true"/>
        </w:rPr>
        <w:t>תבור</w:t>
      </w:r>
      <w:r>
        <w:rPr>
          <w:bCs/>
          <w:rtl w:val="true"/>
        </w:rPr>
        <w:t xml:space="preserve">", </w:t>
      </w:r>
      <w:r>
        <w:rPr>
          <w:bCs/>
          <w:rtl w:val="true"/>
        </w:rPr>
        <w:t>קליבר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5.56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מ</w:t>
      </w:r>
      <w:r>
        <w:rPr>
          <w:bCs/>
          <w:rtl w:val="true"/>
        </w:rPr>
        <w:t>"</w:t>
      </w:r>
      <w:r>
        <w:rPr>
          <w:bCs/>
          <w:rtl w:val="true"/>
        </w:rPr>
        <w:t>מ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ובתוכו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מחסנית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28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כדורים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 </w:t>
      </w:r>
      <w:r>
        <w:rPr>
          <w:bCs/>
          <w:rtl w:val="true"/>
        </w:rPr>
        <w:t>הנאשם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בצוותא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השוטרים</w:t>
      </w:r>
      <w:r>
        <w:rPr>
          <w:rtl w:val="true"/>
        </w:rPr>
        <w:t xml:space="preserve">). </w:t>
      </w:r>
      <w:r>
        <w:rPr>
          <w:rtl w:val="true"/>
        </w:rPr>
        <w:t>בהבחינם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לחנויות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מרחיק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11/9/19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טיעוני באי כוח הצדדים לעונש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15/09/2019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חדיש</w:t>
      </w:r>
      <w:r>
        <w:rPr>
          <w:rtl w:val="true"/>
        </w:rPr>
        <w:t xml:space="preserve">. 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tl w:val="true"/>
        </w:rPr>
        <w:t xml:space="preserve">), 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בחומרתה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5/5/19</w:t>
      </w:r>
      <w:r>
        <w:rPr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4/7/18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11/6/19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דבר הנאשם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 xml:space="preserve">קודם כל אני יודע שאני טעיתי טעות גדולה 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בחיים שלי הייתי כל הזמן מסודר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עובד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הייתי צריך ללכת ללמוד רופא וטרינר</w:t>
      </w:r>
      <w:r>
        <w:rPr>
          <w:rFonts w:cs="Miriam" w:ascii="Miriam" w:hAnsi="Miriam"/>
          <w:rtl w:val="true"/>
        </w:rPr>
        <w:t xml:space="preserve">,  </w:t>
      </w:r>
      <w:r>
        <w:rPr>
          <w:rFonts w:ascii="Miriam" w:hAnsi="Miriam" w:cs="Miriam"/>
          <w:rtl w:val="true"/>
        </w:rPr>
        <w:t>אני מצטער טעיתי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כבר שנה אני בקשר עם קצינת המבחן והכל בסדר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מתכנן ללמוד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כל המשפחה אצלנו  מלומדים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רוצה להמשיך את החיים שלי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ללמוד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 רוצה לחזור לכלא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מתכוון שלא לחזור לכלא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מצטער</w:t>
      </w:r>
      <w:r>
        <w:rPr>
          <w:rFonts w:cs="Miriam" w:ascii="Miriam" w:hAnsi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ascii="Miriam" w:hAnsi="Miriam" w:cs="Miriam"/>
          <w:rtl w:val="true"/>
        </w:rPr>
        <w:t>עבירות בנשק לסוגיהן מגלמות בתוכן סיכון ממשי לשלום הציבור ולביטחונו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שכן לא ניתן לדעת להיכן יתגלגלו כלי הנשק המוחזקים שלא כדין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ואיזה שימוש יעשה בהם בעתיד</w:t>
      </w:r>
      <w:r>
        <w:rPr>
          <w:rtl w:val="true"/>
        </w:rPr>
        <w:t>"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ascii="Miriam" w:hAnsi="Miriam" w:cs="Miriam"/>
          <w:rtl w:val="true"/>
        </w:rPr>
        <w:t>כוויס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אלכרים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19.01.14</w:t>
      </w:r>
      <w:r>
        <w:rPr>
          <w:rtl w:val="true"/>
        </w:rPr>
        <w:t xml:space="preserve">) 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עניין סלימאן</w:t>
      </w:r>
      <w:r>
        <w:rPr>
          <w:rtl w:val="true"/>
        </w:rPr>
        <w:t xml:space="preserve">) </w:t>
      </w:r>
      <w:r>
        <w:rPr>
          <w:rtl w:val="true"/>
        </w:rPr>
        <w:t>ממחישים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"..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>..."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 xml:space="preserve">",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0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1/10/13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4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0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3451-02-14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אלעאל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23/9/14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), </w:t>
      </w:r>
      <w:r>
        <w:rPr>
          <w:rtl w:val="true"/>
        </w:rPr>
        <w:t>ל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4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0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אלהווה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0"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אביעוז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11/12/16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0"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31034-06-17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17/4/18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ציפורי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,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מוּנע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ליפשיץ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41276-06-17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בארין ואח</w:t>
      </w:r>
      <w:r>
        <w:rPr>
          <w:rFonts w:cs="Miriam" w:ascii="Miriam" w:hAnsi="Miriam"/>
          <w:rtl w:val="true"/>
        </w:rPr>
        <w:t xml:space="preserve">' </w:t>
      </w:r>
      <w:r>
        <w:rPr>
          <w:rtl w:val="true"/>
        </w:rPr>
        <w:t>(</w:t>
      </w:r>
      <w:r>
        <w:rPr/>
        <w:t>17/7/18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בארין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שבראשן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ומומלץ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והצלחתו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לשילובו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Fonts w:ascii="David" w:hAnsi="David"/>
          <w:rtl w:val="true"/>
        </w:rPr>
        <w:t>אי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פ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טנציאל השיקום הגבוה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הביע גם בדיון בפניי צער על מעשיו וחרטה כנה ואמיתית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 ש</w:t>
      </w:r>
      <w:r>
        <w:rPr>
          <w:rFonts w:ascii="David" w:hAnsi="David"/>
          <w:rtl w:val="true"/>
        </w:rPr>
        <w:t>מן הראוי לסטות בתיק זה ממתחם העונש ההולם מטעמים של שיקום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כמבוקש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מכוח סעיף </w:t>
      </w:r>
      <w:hyperlink r:id="rId4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כהאי לישנא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רשאי הוא לחרוג ממתחם העונש ההולם ולקבוע את עונשו של הנאשם לפי שיקולי שיקומו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וכן להורות על נקיטת אמצעי שיקומי כלפי הנאשם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לרבות העמדתו במבחן לפי סעיפים </w:t>
      </w:r>
      <w:r>
        <w:rPr>
          <w:rFonts w:cs="Miriam" w:ascii="Miriam" w:hAnsi="Miriam"/>
        </w:rPr>
        <w:t>82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או </w:t>
      </w:r>
      <w:r>
        <w:rPr>
          <w:rFonts w:cs="Miriam" w:ascii="Miriam" w:hAnsi="Miriam"/>
        </w:rPr>
        <w:t>86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או לפי </w:t>
      </w:r>
      <w:hyperlink r:id="rId5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פקודת המבחן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[</w:t>
      </w:r>
      <w:r>
        <w:rPr>
          <w:rFonts w:ascii="Miriam" w:hAnsi="Miriam" w:cs="Miriam"/>
          <w:rtl w:val="true"/>
        </w:rPr>
        <w:t>נוסח חדש</w:t>
      </w:r>
      <w:r>
        <w:rPr>
          <w:rFonts w:cs="Miriam" w:ascii="Miriam" w:hAnsi="Miriam"/>
          <w:rtl w:val="true"/>
        </w:rPr>
        <w:t xml:space="preserve">], </w:t>
      </w:r>
      <w:r>
        <w:rPr>
          <w:rFonts w:ascii="Miriam" w:hAnsi="Miriam" w:cs="Miriam"/>
          <w:rtl w:val="true"/>
        </w:rPr>
        <w:t>התשכ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1969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 xml:space="preserve">. </w:t>
        <w:tab/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שיהווה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א</w:t>
      </w:r>
      <w:r>
        <w:rPr>
          <w:rFonts w:cs="Arial" w:ascii="Calibri" w:hAnsi="Calibri"/>
          <w:sz w:val="22"/>
          <w:szCs w:val="22"/>
          <w:rtl w:val="true"/>
        </w:rPr>
        <w:t>.</w:t>
        <w:tab/>
      </w:r>
      <w:r>
        <w:rPr>
          <w:rFonts w:ascii="Calibri" w:hAnsi="Calibri" w:cs="Calibri"/>
          <w:rtl w:val="true"/>
        </w:rPr>
        <w:t>למאסר בפועל לתקופה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המאסר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ירוצה על ידי הנאשם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 בחוות דעת הממונה על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היינו </w:t>
      </w:r>
      <w:r>
        <w:rPr>
          <w:rFonts w:ascii="Calibri" w:hAnsi="Calibri" w:cs="Calibri"/>
          <w:rtl w:val="true"/>
        </w:rPr>
        <w:t xml:space="preserve">בחברת קדישא ברחוב רוטשילד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הנאשם יתייצב 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8/1/20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שעה </w:t>
      </w:r>
      <w:r>
        <w:rPr>
          <w:rFonts w:cs="Calibri" w:ascii="Calibri" w:hAnsi="Calibri"/>
        </w:rPr>
        <w:t>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 קליטה והצבה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 תחילת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ביחידת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מפקדת צפון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רחוב</w:t>
      </w:r>
      <w:r>
        <w:rPr>
          <w:rFonts w:ascii="Calibri" w:hAnsi="Calibri" w:cs="Calibri"/>
          <w:rtl w:val="true"/>
        </w:rPr>
        <w:t xml:space="preserve"> הציונות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הנאשם מוזהר 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 הממונה על 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עסקינן בתנאי העסקה קפדניים במסגרת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וכי הפרת תנאים אלה עלולה להוביל להפסקת עבודות השירות ולריצוי </w:t>
      </w:r>
      <w:r>
        <w:rPr>
          <w:rFonts w:ascii="Calibri" w:hAnsi="Calibri" w:cs="Calibri"/>
          <w:rtl w:val="true"/>
        </w:rPr>
        <w:t xml:space="preserve">יתרת </w:t>
      </w:r>
      <w:r>
        <w:rPr>
          <w:rFonts w:ascii="Calibri" w:hAnsi="Calibri" w:cs="Calibri"/>
          <w:rtl w:val="true"/>
        </w:rPr>
        <w:t>העונש במאסר של 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כי הנאשם לא יעבור עבירה מסוג פשע לפי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כי הנאשם לא יעבור עבירה מסוג עוון לפי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עבירה לפי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 ט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לחוק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 xml:space="preserve">אני מורה על הטלת צו מבחן על הנאשם לתקופה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מוזהר 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במידה שלא יעמוד בתנאי צו המבחן או יבצע עבירה נוספת בתקופת הצו והצו יופקע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 הוא יהא צפוי לגזירת דינו מחדש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המזכירות תמציא העתק מגזר הדין לשרות המבחן ולממונה על עבודות שרות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start="4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תשרי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עינב איטסקו גולד</w:t>
      </w:r>
      <w:r>
        <w:rPr>
          <w:rFonts w:cs="Arial" w:ascii="Arial" w:hAnsi="Arial"/>
          <w:rtl w:val="true"/>
        </w:rPr>
        <w:t xml:space="preserve">, </w:t>
      </w:r>
      <w:bookmarkEnd w:id="8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בויראת וכן 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63018-05-18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bullet"/>
      <w:lvlText w:val=""/>
      <w:lvlJc w:val="end"/>
      <w:pPr>
        <w:tabs>
          <w:tab w:val="num" w:pos="0"/>
        </w:tabs>
        <w:ind w:start="7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.a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338.a.1" TargetMode="External"/><Relationship Id="rId13" Type="http://schemas.openxmlformats.org/officeDocument/2006/relationships/hyperlink" Target="http://www.nevo.co.il/law/70301/498" TargetMode="External"/><Relationship Id="rId14" Type="http://schemas.openxmlformats.org/officeDocument/2006/relationships/hyperlink" Target="http://www.nevo.co.il/law/70301/iCcS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43" TargetMode="External"/><Relationship Id="rId17" Type="http://schemas.openxmlformats.org/officeDocument/2006/relationships/hyperlink" Target="http://www.nevo.co.il/law/7155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70301/49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243627" TargetMode="External"/><Relationship Id="rId27" Type="http://schemas.openxmlformats.org/officeDocument/2006/relationships/hyperlink" Target="http://www.nevo.co.il/law/70301/40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601503" TargetMode="External"/><Relationship Id="rId32" Type="http://schemas.openxmlformats.org/officeDocument/2006/relationships/hyperlink" Target="http://www.nevo.co.il/case/7791493" TargetMode="External"/><Relationship Id="rId33" Type="http://schemas.openxmlformats.org/officeDocument/2006/relationships/hyperlink" Target="http://www.nevo.co.il/case/7840699" TargetMode="External"/><Relationship Id="rId34" Type="http://schemas.openxmlformats.org/officeDocument/2006/relationships/hyperlink" Target="http://www.nevo.co.il/case/11289545" TargetMode="External"/><Relationship Id="rId35" Type="http://schemas.openxmlformats.org/officeDocument/2006/relationships/hyperlink" Target="http://www.nevo.co.il/case/13042005" TargetMode="External"/><Relationship Id="rId36" Type="http://schemas.openxmlformats.org/officeDocument/2006/relationships/hyperlink" Target="http://www.nevo.co.il/case/6864329" TargetMode="External"/><Relationship Id="rId37" Type="http://schemas.openxmlformats.org/officeDocument/2006/relationships/hyperlink" Target="http://www.nevo.co.il/case/22733878" TargetMode="External"/><Relationship Id="rId38" Type="http://schemas.openxmlformats.org/officeDocument/2006/relationships/hyperlink" Target="http://www.nevo.co.il/law/70301/144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/275" TargetMode="External"/><Relationship Id="rId44" Type="http://schemas.openxmlformats.org/officeDocument/2006/relationships/hyperlink" Target="http://www.nevo.co.il/law/70301/338.a.1" TargetMode="External"/><Relationship Id="rId45" Type="http://schemas.openxmlformats.org/officeDocument/2006/relationships/hyperlink" Target="http://www.nevo.co.il/law/5227/43" TargetMode="External"/><Relationship Id="rId46" Type="http://schemas.openxmlformats.org/officeDocument/2006/relationships/hyperlink" Target="http://www.nevo.co.il/law/5227" TargetMode="External"/><Relationship Id="rId47" Type="http://schemas.openxmlformats.org/officeDocument/2006/relationships/hyperlink" Target="http://www.nevo.co.il/case/22746666" TargetMode="External"/><Relationship Id="rId48" Type="http://schemas.openxmlformats.org/officeDocument/2006/relationships/hyperlink" Target="http://www.nevo.co.il/law/70301/40d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1553" TargetMode="External"/><Relationship Id="rId51" Type="http://schemas.openxmlformats.org/officeDocument/2006/relationships/hyperlink" Target="http://www.nevo.co.il/law/70301/144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iCcS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2019-10-28T12:52:00Z</dcterms:created>
  <dc:creator> </dc:creator>
  <dc:description/>
  <cp:keywords/>
  <dc:language>en-IL</dc:language>
  <cp:lastModifiedBy>h10</cp:lastModifiedBy>
  <dcterms:modified xsi:type="dcterms:W3CDTF">2019-10-28T12:52:00Z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מחאמיד;יחיא קבלאוי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6243627;5601503;7791493;7840699;11289545;13042005;6864329;22733878;22746666</vt:lpwstr>
  </property>
  <property fmtid="{D5CDD505-2E9C-101B-9397-08002B2CF9AE}" pid="9" name="CITY">
    <vt:lpwstr>חי'</vt:lpwstr>
  </property>
  <property fmtid="{D5CDD505-2E9C-101B-9397-08002B2CF9AE}" pid="10" name="DATE">
    <vt:lpwstr>20191024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70301/144.b:2;029;275;498;040b;040c;040i;144.a:2;338.a.1;040d.a;144:2;iCcS</vt:lpwstr>
  </property>
  <property fmtid="{D5CDD505-2E9C-101B-9397-08002B2CF9AE}" pid="15" name="LAWLISTTMP2">
    <vt:lpwstr>5227/043</vt:lpwstr>
  </property>
  <property fmtid="{D5CDD505-2E9C-101B-9397-08002B2CF9AE}" pid="16" name="LAWLISTTMP3">
    <vt:lpwstr>71553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63018;68160</vt:lpwstr>
  </property>
  <property fmtid="{D5CDD505-2E9C-101B-9397-08002B2CF9AE}" pid="24" name="NEWPARTB">
    <vt:lpwstr>05;05</vt:lpwstr>
  </property>
  <property fmtid="{D5CDD505-2E9C-101B-9397-08002B2CF9AE}" pid="25" name="NEWPARTC">
    <vt:lpwstr>18;18</vt:lpwstr>
  </property>
  <property fmtid="{D5CDD505-2E9C-101B-9397-08002B2CF9AE}" pid="26" name="NEWPROC">
    <vt:lpwstr>תפ;תפ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390020191024</vt:lpwstr>
  </property>
  <property fmtid="{D5CDD505-2E9C-101B-9397-08002B2CF9AE}" pid="36" name="TYPE_N_DATE">
    <vt:lpwstr>39020191024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