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8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86"/>
      </w:tblGrid>
      <w:tr>
        <w:trPr>
          <w:trHeight w:val="670" w:hRule="exact"/>
        </w:trPr>
        <w:tc>
          <w:tcPr>
            <w:tcW w:w="8786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לפני כבוד השופטת חנה מרים לומפ</w:t>
            </w:r>
          </w:p>
        </w:tc>
      </w:tr>
      <w:tr>
        <w:trPr>
          <w:trHeight w:val="337" w:hRule="atLeast"/>
        </w:trPr>
        <w:tc>
          <w:tcPr>
            <w:tcW w:w="878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63147-12-16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78"/>
        <w:gridCol w:w="6942"/>
      </w:tblGrid>
      <w:tr>
        <w:trPr/>
        <w:tc>
          <w:tcPr>
            <w:tcW w:w="1878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6942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ואביה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גליסברג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 (W1);Arial" w:ascii="Arial (W1);Arial" w:hAnsi="Arial (W1);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 (W1);Arial" w:ascii="Arial (W1);Arial" w:hAnsi="Arial (W1);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       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 (W1);Arial" w:ascii="Arial (W1);Arial" w:hAnsi="Arial (W1);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593" w:hRule="atLeast"/>
        </w:trPr>
        <w:tc>
          <w:tcPr>
            <w:tcW w:w="1878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6942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הלאל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עניינו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הסתיים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אוסמה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448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26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26"/>
          <w:szCs w:val="26"/>
          <w:lang w:val="en-US" w:eastAsia="en-US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</w:r>
    </w:p>
    <w:p>
      <w:pPr>
        <w:pStyle w:val="Normal"/>
        <w:suppressLineNumbers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ind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bookmarkStart w:id="3" w:name="PsakDin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bookmarkEnd w:id="3"/>
      <w:r>
        <w:rPr>
          <w:b/>
          <w:b/>
          <w:bCs/>
          <w:sz w:val="32"/>
          <w:sz w:val="32"/>
          <w:szCs w:val="32"/>
          <w:rtl w:val="true"/>
        </w:rPr>
        <w:t>בעניינו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bookmarkStart w:id="4" w:name="ABSTRACT_START"/>
      <w:bookmarkEnd w:id="4"/>
      <w:r>
        <w:rPr>
          <w:rFonts w:ascii="Arial" w:hAnsi="Arial" w:cs="Arial"/>
          <w:rtl w:val="true"/>
          <w:lang w:val="en-US" w:eastAsia="en-US"/>
        </w:rPr>
        <w:t xml:space="preserve">בדיון מיום </w:t>
      </w:r>
      <w:r>
        <w:rPr>
          <w:rFonts w:cs="Arial" w:ascii="Arial" w:hAnsi="Arial"/>
          <w:lang w:val="en-US" w:eastAsia="en-US"/>
        </w:rPr>
        <w:t>26.10.17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הודה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בעובדות כתב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מאחר שהנאשם קטין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נקבעה אשמתו בעבירה של הצתה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באותו המועד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הודה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בעובדות כתב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בעקבות הסדר טיעון עם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הצדדים יעתרו במשותף להטלת עונש של שִשה חודשי מאסר שירוצו בעבודות שירות ומאסר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מאחר שנאשם זה בגיר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הורשע באותה 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שיוחסה אף 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  <w:bookmarkStart w:id="5" w:name="ABSTRACT_END"/>
      <w:bookmarkStart w:id="6" w:name="ABSTRACT_END"/>
      <w:bookmarkEnd w:id="6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מעובדות כתב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האישום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בין פלוני 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המתלונן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לבין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קיימת היכרות מוקדמת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רקע עבודתו של המתלונן במוסך בבעלות אביו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פאיק גועבה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במועד הקודם ליום </w:t>
      </w:r>
      <w:r>
        <w:rPr>
          <w:rFonts w:cs="Arial" w:ascii="Arial" w:hAnsi="Arial"/>
          <w:lang w:val="en-US" w:eastAsia="en-US"/>
        </w:rPr>
        <w:t>5.3.15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ארעה מריבה בין המתלונן לבין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רקע העבודה במוסך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  <w:lang w:val="en-US" w:eastAsia="en-US"/>
        </w:rPr>
      </w:pPr>
      <w:r>
        <w:rPr>
          <w:rFonts w:cs="Arial" w:ascii="Arial" w:hAnsi="Arial"/>
          <w:b/>
          <w:bCs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בעקבות המריבה בין המתלונן לבין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קשרו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קשר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מנת להצית את קטנוע מ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 xml:space="preserve">ר </w:t>
      </w:r>
      <w:r>
        <w:rPr>
          <w:rFonts w:cs="Arial" w:ascii="Arial" w:hAnsi="Arial"/>
          <w:lang w:val="en-US" w:eastAsia="en-US"/>
        </w:rPr>
        <w:t>60-401-68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הקטנוע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אשר בבעלותו של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הוסכם בין השניים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ישלם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סכום של </w:t>
      </w: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עבור השתתפותו בביצוע המעשה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בהמשך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יום לאחר המריבה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הגיעו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אל המוסך ומילאו בקבוק משקה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אקסל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בבנזין לצורך הצתת הקטנוע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באותו היום החליטו הנאשמים להמתין ולבצע את ההצתה ביום 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5.3.15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בשעות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הגיעו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למקום בו חנה הקטנוע באזור שער הפרחים בעיר העתיקה בירושלים כשהם מצוידים בבקבוק הבנזין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 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שפך את הבנזין על הקטנוע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הצית את הקטנוע באמצעות מצית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נמלטו מן המקום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כתוצאה ממעשיהם של הנאשמים נשרף הקטנוע כליל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ושרותי כבאות אשר הוזעקו למקום נאלצו לכבות את השריפה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הטיעונים לעונש בעניינם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נדחו לאחר קבלת תסקירי שירות המבחן בעניינם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בנוסף חוות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דעת ממונה התבקשה בעניינו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בישיבת יום </w:t>
      </w:r>
      <w:r>
        <w:rPr>
          <w:rFonts w:cs="Arial" w:ascii="Arial" w:hAnsi="Arial"/>
          <w:lang w:val="en-US" w:eastAsia="en-US"/>
        </w:rPr>
        <w:t>23.5.18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החלטתי לאמץ את הסדר הטיעון בעניינו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ודינו נגזר לשִשה חודשי מאסר אשר ירוצו בעבודות שירות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שמונה חודשי מאסר על תנאי למשך שנתיים שלא יעבור עבירה של הצתה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וחודשיים מאסר על תנאי למשך שנתיים שלא יעבור עבירה של היזק בזדון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באותו המועד נשמעו טיעונים לעונש 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הדיון בעניינו נדחה ליום </w:t>
      </w:r>
      <w:r>
        <w:rPr>
          <w:rFonts w:cs="Arial" w:ascii="Arial" w:hAnsi="Arial"/>
          <w:lang w:val="en-US" w:eastAsia="en-US"/>
        </w:rPr>
        <w:t>4.7.18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לצורך השלמת טיעונים לעונש וקבלת חוות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דעת הממונה על עבודות השירות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מחוות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דעת הממונה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לנאשם לא נמצא מקום להשמה בעבודות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שטען כי עקב לימודיו הוא לא יוכל לעמוד בכך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תסקיר שירות מבחן לנוער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מתסקיר שירות המבחן מיום </w:t>
      </w:r>
      <w:r>
        <w:rPr>
          <w:rFonts w:cs="Arial" w:ascii="Arial" w:hAnsi="Arial"/>
          <w:lang w:val="en-US" w:eastAsia="en-US"/>
        </w:rPr>
        <w:t>18.2.18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בן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עומד לראשונה לדין בגין ביצוע עבירה של הצתה מיום </w:t>
      </w:r>
      <w:r>
        <w:rPr>
          <w:rFonts w:cs="Arial" w:ascii="Arial" w:hAnsi="Arial"/>
          <w:lang w:val="en-US" w:eastAsia="en-US"/>
        </w:rPr>
        <w:t>5.3.15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בן בכור למשפחה המונה זוג הורים וחמישה 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מתגוררת בבית פרטי בואדי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וז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המשפחה מוכרת ללשכת הרווחה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רקע בעיות בריאות של הילד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סובל ממום לידה ולקויות למידה קשות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אב המשפחה עובד במוסך כמכונאי רכב ולאחרונה עבר תאונת עבודה וסובל מבעיות רפואיות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ממלא את מקומו בעבודה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האם עקרת 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 ממשפחה נורמטיבית ויציבה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שאינה מעורבת בפלילים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מהורים סמכותיים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המציבים לילדיהם גבולות המאפשרים את התפתחותם הנורמטיבית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התרשם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מקיומו של פער רב בין תמונת המצב המשפחתית לבין חומרת העבירה שביצע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האם הסבירה פער זה בגילו הצעיר של בנה בעת ביצוע העבירה וכשלים חשיבתיים האופייניים לגיל ההתבגרות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התרשם שירות המבחן מצעיר המגלה אחריות ומחויבות רבה כלפי משפחתו ועתידו המקצועי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המנצל את פרק הזמן הפנוי ומתפקד באופן חיובי במישורי חייו השונים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עולה מתסקיר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סיים את לימודי התיכון בממוצע </w:t>
      </w:r>
      <w:r>
        <w:rPr>
          <w:rFonts w:cs="Arial" w:ascii="Arial" w:hAnsi="Arial"/>
          <w:lang w:val="en-US" w:eastAsia="en-US"/>
        </w:rPr>
        <w:t>89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בשנת הלימודים האחרונה חלה נסיגה בהישגיו הלימודיים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שנאלץ לעזור לאביו במוסך בעקבות פיצול השותפות בין דודיו לבין אביו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שלל מעורבות בבעיות התנהגות ומשמעת בבית הספר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וכיום הוא סטודנט שנה שלישית במכללת סחנין במגמת הנדסאות 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מתגורר עם שותפים בדירה שכורה בסחנין וביתר הימים חוזר לבני משפחתו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לעבוד במוסך של אביו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 מצבו הרפואי של אביו האחריות בהפעלת העסק מוטלת על כתפיו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 בבד לומד הנאשם וכן עובד בעבודה מזדמנת נוספת בתחום האינסטלציה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על מנת לממן את לימודיו ודמי השכירות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מסר שבנסיבות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לו כמעט זמן פנוי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ומכל 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נוטה כיום לברור היטב את חבריו בעקבות מעורבותו בעבירה ומעדיף את חברת בני משפחתו ולהשקיע את זמנו בעבודה ובלימודים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מוסר שהרקע לאירוע הוא אוירה מתוחה במוסך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כתוצאה ממאבק כוח ושליטה בין עובד ותיק לבין בנו של המעסיק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תיאר תסכול מכך שהוא נאלץ כבנו של בעל המוסך לקבל הוראות מעובד ותיק ומנוסה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ולפיכך התייחס אליו בזלזול ובחוסר הערכה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עובד התגרה בו והשפיל אותו אל מול העובדים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ומאחר שאביו לא תמך בו בעת המריבה הוא איים להצית את האופנוע של העובד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העובד התגרה בו ואמר לו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אתה גבר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נראה אותך מצית את האופנוע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אחר הדברים האלה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הלך הנאשם לבית הקפה השכונתי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ושם שפך את סגור ליבו לפני חברו ושותפו לעבירה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וזה הציע לעזור לו בכל אשר יבקש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שילם </w:t>
      </w: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לשותפו לעבירה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ממנו לשפוך את מיכל הדלק על האופנוע ושותפו הצית את הגפרור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מסר לקצינת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מיד לאחר המעשה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הבין שעשה מעשה קשה ונורא וחשב שאין חזרה ממנו שהוא עבריין אשר חצה כל גבול אפשרי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חש בהלה ובלבול והיה טרוד ממעשיו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לקח אחריות מלאה על המעשה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והביע חרטה עליו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הסכים לכתוב מכתב לשירות המבחן המש</w:t>
      </w:r>
      <w:bookmarkStart w:id="7" w:name="LawTable"/>
      <w:bookmarkEnd w:id="7"/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448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26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8" w:name="LawTable_End"/>
      <w:bookmarkStart w:id="9" w:name="LawTable_End"/>
      <w:bookmarkEnd w:id="9"/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start="360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ק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ף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Arial" w:hAnsi="Arial" w:cs="Arial"/>
          <w:bCs/>
          <w:lang w:val="en-US" w:eastAsia="en-US"/>
        </w:rPr>
      </w:pPr>
      <w:r>
        <w:rPr>
          <w:rFonts w:ascii="Arial" w:hAnsi="Arial" w:cs="Arial"/>
          <w:bCs/>
          <w:rtl w:val="true"/>
          <w:lang w:val="en-US" w:eastAsia="en-US"/>
        </w:rPr>
        <w:t>את תחושותיו באשר לעבירה</w:t>
      </w:r>
      <w:r>
        <w:rPr>
          <w:rFonts w:cs="Arial" w:ascii="Arial" w:hAnsi="Arial"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rtl w:val="true"/>
          <w:lang w:val="en-US" w:eastAsia="en-US"/>
        </w:rPr>
        <w:t>וחלקים ממנו צוטטו בתסקיר שירות המבחן</w:t>
      </w:r>
      <w:r>
        <w:rPr>
          <w:rFonts w:cs="Arial" w:ascii="Arial" w:hAnsi="Arial"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Cs/>
          <w:rtl w:val="true"/>
          <w:lang w:val="en-US" w:eastAsia="en-US"/>
        </w:rPr>
        <w:t>מהמכתב עולה</w:t>
      </w:r>
      <w:r>
        <w:rPr>
          <w:rFonts w:cs="Arial" w:ascii="Arial" w:hAnsi="Arial"/>
          <w:bCs/>
          <w:rtl w:val="true"/>
          <w:lang w:val="en-US" w:eastAsia="en-US"/>
        </w:rPr>
        <w:t>,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כי הרקע לביצוע העבירה הוא התנהגות טיפשית וילדותית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ובגדרו הביע הנאשם משאלה שניתן היה לחזור בזמן ולתקן את העבר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קצינת המבחן התרשמה מצעיר המבין את הפסול במעשיו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מתחבר לחומרת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מביע חרטה ולוקח אחריות תוך התבוננות במעשיו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ברגשותיו ובמחשבותיו לפני ולאחר 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חומרת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התרשמה 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קיים פער משמעותי בין תפקודו הכללי של הנאשם והערכים עליהם גדל לבין מעשיו בעת 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עולה שהנאשם היה בקשר רצוף עם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הופנה לטיפול במסגרת קבוצה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עיבוד עבירה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בסופו של יום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לדחות את הדיון בשלושה חודשים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מנת לבחון את השתלבות הנאשם בקבוצה ולהעמידו בצו השגחה זמני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מתסקיר שירות המבחן מיום </w:t>
      </w:r>
      <w:r>
        <w:rPr>
          <w:rFonts w:cs="Arial" w:ascii="Arial" w:hAnsi="Arial"/>
          <w:lang w:val="en-US" w:eastAsia="en-US"/>
        </w:rPr>
        <w:t>13.5.18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השתתף בקבוצת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עיבוד עבירה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והגיע לשמונה מתוך תשעה מפגשים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איחר למפגשים בשל מחויבותו להפעיל את העסק המשפחתי בשל קשייו הבריאותיים של אביו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למרות זאת השתתף באופן אקטיבי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בולט ושיתף פעולה באופן מלא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עזר לאחרים בקבוצה ולקח על עצמו תפקיד פעיל ומארגן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הסביר את נסיבות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פירט אודותיה והסביר את המניעים שעמדו מאחורי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התחבר לפסול שבמעשיו ולנזקים הפוטנציאליים של מעשה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קצינת המבחן התרשמה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הפיק לקחים ממעורבותו בעבירה ומההליך המשפטי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והקשר עם שירות המבחן סייע לו לשנות את דפוסי התנהגותו וחשיבתו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וכיום פניו מועדות לעתיד נורמטיבי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בסופו של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המליץ על כך שהנאשם לא יורשע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יוטל עליו צו שירות לתועלת הציבור וכן חתימה על התחייבות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הצדדים 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המוגנים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וקניינם של הציבור בכלל והמתלונן בפרט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הצתה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בהינתן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פוטנציאל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הרסני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הטמון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מעבר לפגיעה ברכוש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לנטילת חיי אדם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 לנסיבות ביצוע 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 המאשימה הדגישו כי הקטנוע נשרף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ההצתה התרחשה בשכונת מגורים בשעות הלילה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 לוקח זמן רב יותר להבחין בה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ולכן פוטנציאל הנזק גבוה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פרטו את הנסיבות לחומרה 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חלקו המרכזי בעבירה שבא לידי ביטוי בכך 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גרר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את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לביצוע העבירה בתמורה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 xml:space="preserve"> ₪; </w:t>
      </w:r>
      <w:r>
        <w:rPr>
          <w:rFonts w:ascii="Arial" w:hAnsi="Arial" w:cs="Arial"/>
          <w:rtl w:val="true"/>
          <w:lang w:val="en-US" w:eastAsia="en-US"/>
        </w:rPr>
        <w:t>הסכסוך של המתלונן היה עם הנאשם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למעשה ההצתה קדם תכנון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הנאשם שפך את הבנזין ונאשם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הצית את הקטנוע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לנסיבותיו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ציינו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גילו הצעיר והיותו קטין על סף בגירות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ושמונה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נעדר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הודה ולקח אחריות על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למדיניות הענישה הנוהגת במקרים דומים הפנו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לפסיקה לתמיכה בטענותיהם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ביחס לשאלת ההרשעה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ביקשו להרשיע את הנאשם נוכח חומרת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ונוכח העובדה שהנאשם לא עומד בתנאים של הלכת 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חלה גם על קטינים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אין נזק קונקרטי בעניינו והאינטרס הציבורי ושיקולי ההרתעה גוברים על שיקולי השיקום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לסיום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שהנאשם לא נמצא מתאים לביצוע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עתרו להשית על הנאשם עונש של שישה חודשי מאסר בפועל וענישה נלווית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האירוע נושא כתב האישום התרחש לפני מעל לשלוש 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ציין שהרקע לאירוע היה הערות שהעיר המתלונן אשר היה עובד בכיר במוסך של אביו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 של בעל המוסך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שאביו לא ניהל את המוסך נוכח מצבו הרפואי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עבר הליך שיקום משמעותי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לרבות הליך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עיבוד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עבירה שמשמעותו היא כניסה לפרטי פרטים של הנסיבות והמחשבות שהביאו אותו לידי 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כעת מבין הנאשם את הטעות שעשה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ומביע חרטה אנושית אמיתית על המעשה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ולקח אחריות מלאה עליו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כולל פיצוי של המתלונן בסך </w:t>
      </w:r>
      <w:r>
        <w:rPr>
          <w:rFonts w:cs="Arial" w:ascii="Arial" w:hAnsi="Arial"/>
          <w:lang w:val="en-US" w:eastAsia="en-US"/>
        </w:rPr>
        <w:t>9,000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>השיקום בא לידי ביטוי בכך שהתגבר על קשייו הלימודיים וכעת הוא נמצא בשנתו השלישית במגמת מכונאות רכב במכללת סכנין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הדגיש את היותו של הנאשם נער צעיר בעת ביצוע המעשה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כאשר עסקינן בנער יש לבכר את שיקולי שיקום על פני שיקולי הלימה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ההליך הפלילי לימד את הנאשם לקח והציב לו גבולות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לפיכך ביקש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לאמץ את המלצת שירות המבחן ולהטיל על הנאשם צו שירות לתועלת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התחייבות וצו מבחן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לשאלת ההרשעה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לקבל את המלצת שירות המבחן שלא להרשיע את הנאשם בשל היותו קטין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ובשל סיכויי השיקום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והפנה לפסיקה לתמיכה בטיעוניו המשווה בין שאלת ההרשעה בבגיר ביחס לקטין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לאבחן בינו לבין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שהוא בגיר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צפוי להיפגע אם יורשע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שהוא מתעתד להיות בוחן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בדבריו האחרונים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הוא רוצה ללמוד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על מנת להיות בוחן רכב והנדסה ונשארו לו עוד שנתיים ללמוד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רוצה ללמוד את תחום השמאות ולשמש כרב בוחן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הביע צער וחרטה על 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480"/>
        <w:ind w:firstLine="360"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משלימה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lang w:val="en-US" w:eastAsia="en-US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היו חלוקים ביחס לשאלת הרשעת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כלל ידוע 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מורשע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נמנעים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קונקרטי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ומנגד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מאפשרת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</w:t>
        </w:r>
      </w:hyperlink>
      <w:r>
        <w:rPr>
          <w:rFonts w:cs="Calibri" w:ascii="Calibri" w:hAnsi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הנוער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[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שפיטה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ודרכי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טיפול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]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התשל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1971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להלן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הנוער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קבוע אחד החריגים לכלל זה במקנה לבית המשפט סמכות לא להרשיע קטין אשר ביצע עבירה פלילית ולהורות על אמצעים ודרכי טיפול הקבועים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לחוק הנוער מבלי להרשיעו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ראה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הנוער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בעניינם של קטינים ביחס לאי הרשעתם נשקלים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סיכויי שיקומו ועברו הפלילי וכן מהות העבירה ונסיבותיה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עתירת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הנסמכת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מתבססת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קונקרטי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hyperlink r:id="rId22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2136/15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</w:t>
      </w:r>
      <w:r>
        <w:rPr>
          <w:b/>
          <w:b/>
          <w:bCs/>
          <w:rtl w:val="true"/>
          <w:lang w:val="en-US" w:eastAsia="en-US"/>
        </w:rPr>
        <w:t>לוני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29.3.15</w:t>
      </w:r>
      <w:r>
        <w:rPr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צפויה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באפשרותו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להשתקם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להוכיח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קונקרטי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הצפוי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יורשע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5931/13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(</w:t>
      </w:r>
      <w:r>
        <w:rPr>
          <w:sz w:val="22"/>
          <w:lang w:val="en-US" w:eastAsia="en-US"/>
        </w:rPr>
        <w:t>10.2.14</w:t>
      </w:r>
      <w:r>
        <w:rPr>
          <w:sz w:val="22"/>
          <w:rtl w:val="true"/>
          <w:lang w:val="en-US" w:eastAsia="en-US"/>
        </w:rPr>
        <w:t>)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זילברטל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ובראן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החולקת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Normal"/>
        <w:spacing w:before="0" w:after="200"/>
        <w:ind w:hanging="141" w:start="1275" w:end="993"/>
        <w:contextualSpacing/>
        <w:jc w:val="both"/>
        <w:rPr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עם זאת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במסגרת בחינת השיקולים האינדיווידואליים איני סבור שעל הנאשם הקטין לשכנע כי בעניינו קיים נזק </w:t>
      </w:r>
      <w:r>
        <w:rPr>
          <w:rFonts w:ascii="David" w:hAnsi="David" w:cs="Miriam"/>
          <w:b/>
          <w:b/>
          <w:bCs/>
          <w:sz w:val="28"/>
          <w:sz w:val="28"/>
          <w:rtl w:val="true"/>
          <w:lang w:val="en-US" w:eastAsia="en-US"/>
        </w:rPr>
        <w:t>קונקרטי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שצפוי לו אם יורשע </w:t>
      </w:r>
      <w:r>
        <w:rPr>
          <w:rFonts w:cs="David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/>
          <w:b/>
          <w:b/>
          <w:bCs/>
          <w:rtl w:val="true"/>
          <w:lang w:val="en-US" w:eastAsia="en-US"/>
        </w:rPr>
        <w:t>כגון חוסר האפשרות לעסוק במקצוע מסוים אותו רכש שהעיסוק בו לא יתאפשר נוכח ההרשעה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), </w:t>
      </w:r>
      <w:r>
        <w:rPr>
          <w:rFonts w:ascii="David" w:hAnsi="David"/>
          <w:b/>
          <w:b/>
          <w:bCs/>
          <w:rtl w:val="true"/>
          <w:lang w:val="en-US" w:eastAsia="en-US"/>
        </w:rPr>
        <w:t>שכן בהתחשב בקטינותו קשה לצפות כיצד יתנהלו חייו הבוגרים ומהן ההזדמנויות שתקרנה בדרכו בעתיד ושההרשעה עלולה לחסום את דרכו למימושן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זאת בשונה מנאשם בגיר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במיוחד כזה שיש לו עבר בתחום ההכשרה המקצועית או עבר תעסוקתי מוגדר שלרקע קיומו מבקש אותו נאשם להצביע על נזק קונקרטי שצפוי להיגרם לו כתוצאה מהרשעתו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כשמדובר בקטין היכולת לצפות את עתידו על יסוד עברו מצומצמת יותר ועל כן ראוי לטעמי להניח לגביו שההרשעה עלולה לפגוע בו בתחום המקצועי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התעסוקתי גם אם לא עולה בידו להצביע על נזק קונקרטי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מה גם שלשיקול האינדיווידואלי משקל רב יותר כשמדובר בקטין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</w:p>
    <w:p>
      <w:pPr>
        <w:pStyle w:val="Normal"/>
        <w:spacing w:before="0" w:after="200"/>
        <w:ind w:end="993"/>
        <w:contextualSpacing/>
        <w:jc w:val="both"/>
        <w:rPr>
          <w:b/>
          <w:bCs/>
          <w:sz w:val="14"/>
          <w:szCs w:val="14"/>
          <w:lang w:val="en-US" w:eastAsia="en-US"/>
        </w:rPr>
      </w:pPr>
      <w:r>
        <w:rPr>
          <w:b/>
          <w:bCs/>
          <w:sz w:val="14"/>
          <w:szCs w:val="14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</w:rPr>
        <w:t>לאחר ששמעתי את טיעוני הצדדים בשאלה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ובשים לב לחומרת מעשיו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 שהנאשם ביצע את העבירה  על סף גיל הבגירות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ומטעמי שוויון 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סבורה שאין מקום להימנע מהרשעת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 גם שהנזק הצפוי 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עשוי להתמשש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מספר 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 שאכן יבחר להיות בוחן או שמאי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 להניח שעד שישלים את לימודיו בתחומים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הרשעתו תתישן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כאשר עסקינן בהרשעת קטינים מועדי ההתיישנות קצרים וזאת מתוך שיקולי שיקום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שיש מענה לטווח ארוך עת יסיים לימודיו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>ת</w:t>
      </w:r>
      <w:r>
        <w:rPr>
          <w:rtl w:val="true"/>
        </w:rPr>
        <w:t>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האינטרס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מחייב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יילקחו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גזר דין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ההצתה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וברכושו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ההצתה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מאופיינית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ונזקים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קטלניים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היקף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שולט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בתוצאות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היקף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שייגרמו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מעשיהו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למשל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בתי המשפט חזרו והדגישו את חומרתה היתרה של עבירת ההצתה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גם כשהיא מתייחסת לרכוש בלבד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בין היתר בשל הפוטנציאל לגרימת נזק לגוף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בבחינת אוי לגפרור שהצית להבה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שסופה ואחריתה מי ישורנה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rtl w:val="true"/>
          <w:lang w:val="en-US" w:eastAsia="en-US"/>
        </w:rPr>
        <w:t>." (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1727/14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מימון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6.1.2015</w:t>
      </w:r>
      <w:r>
        <w:rPr>
          <w:rFonts w:cs="Arial" w:ascii="Arial" w:hAnsi="Arial"/>
          <w:rtl w:val="true"/>
          <w:lang w:val="en-US" w:eastAsia="en-US"/>
        </w:rPr>
        <w:t>)).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האמצעים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הדרושים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להצתת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פשוטים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וזמינים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פעולת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ההצתה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אוחזת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ולהפכם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ואפר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וטמונה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ראה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4311/12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entury" w:hAnsi="Century" w:cs="Century"/>
          <w:bCs/>
          <w:rtl w:val="true"/>
          <w:lang w:val="en-US" w:eastAsia="en-US"/>
        </w:rPr>
        <w:t>סורי</w:t>
      </w:r>
      <w:r>
        <w:rPr>
          <w:rFonts w:ascii="Century" w:hAnsi="Century" w:cs="Century"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Cs/>
          <w:rtl w:val="true"/>
          <w:lang w:val="en-US" w:eastAsia="en-US"/>
        </w:rPr>
        <w:t>נ</w:t>
      </w:r>
      <w:r>
        <w:rPr>
          <w:rFonts w:cs="Century" w:ascii="Century" w:hAnsi="Century"/>
          <w:bCs/>
          <w:rtl w:val="true"/>
          <w:lang w:val="en-US" w:eastAsia="en-US"/>
        </w:rPr>
        <w:t xml:space="preserve">' </w:t>
      </w:r>
      <w:r>
        <w:rPr>
          <w:rFonts w:ascii="Century" w:hAnsi="Century" w:cs="Century"/>
          <w:bCs/>
          <w:rtl w:val="true"/>
          <w:lang w:val="en-US" w:eastAsia="en-US"/>
        </w:rPr>
        <w:t>מדינת</w:t>
      </w:r>
      <w:r>
        <w:rPr>
          <w:rFonts w:ascii="Century" w:hAnsi="Century" w:cs="Century"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8.11.2012</w:t>
      </w:r>
      <w:r>
        <w:rPr>
          <w:rFonts w:cs="Calibri" w:ascii="Calibri" w:hAnsi="Calibri"/>
          <w:rtl w:val="true"/>
          <w:lang w:val="en-US" w:eastAsia="en-US"/>
        </w:rPr>
        <w:t xml:space="preserve">)).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ההצתה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נתפסת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האינהרנטית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הטבועה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העברייני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הימנה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4311/12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מילאד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נגד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15.10.12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31994-10-12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נגד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מהראן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עיסא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25.4.13</w:t>
      </w:r>
      <w:r>
        <w:rPr>
          <w:rFonts w:cs="Calibri" w:ascii="Calibri" w:hAnsi="Calibri"/>
          <w:rtl w:val="true"/>
          <w:lang w:val="en-US" w:eastAsia="en-US"/>
        </w:rPr>
        <w:t>),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5074/10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מרדאווי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19.9.2012</w:t>
      </w:r>
      <w:r>
        <w:rPr>
          <w:rFonts w:cs="Calibri" w:ascii="Calibri" w:hAnsi="Calibri"/>
          <w:rtl w:val="true"/>
          <w:lang w:val="en-US" w:eastAsia="en-US"/>
        </w:rPr>
        <w:t>)).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Times New Roman"/>
          <w:b/>
          <w:bCs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והאיזונים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הנדרשים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כשאז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עובר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מרכז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הכובד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נסיבותיו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האישיות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העבריין</w:t>
      </w:r>
      <w:r>
        <w:rPr>
          <w:rFonts w:cs="Calibri" w:ascii="Calibri" w:hAnsi="Calibri"/>
          <w:b/>
          <w:bCs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הקטין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תוך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שימת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לגילו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ולסיכויי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שיקומו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זאת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מבלי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להתעלם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מחומרת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עצמה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ומשיקולי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ההרתעה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4618/12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29.7.2012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בפסקה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שנסיבותיה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ותוצאותיה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להעדיף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המסלול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הענישתי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המסלול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השיקומי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שקטינות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חסינות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ובמקרה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כשמבוצעות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לאמור</w:t>
      </w:r>
      <w:r>
        <w:rPr>
          <w:rFonts w:cs="Times New Roman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הנוער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וגמול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ונסיבותיה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32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8863/15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3520/16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cs="Times New Roman"/>
          <w:b/>
          <w:bCs/>
          <w:sz w:val="12"/>
          <w:szCs w:val="12"/>
          <w:lang w:val="en-US" w:eastAsia="en-US"/>
        </w:rPr>
      </w:pPr>
      <w:r>
        <w:rPr>
          <w:rFonts w:cs="Times New Roman"/>
          <w:b/>
          <w:bCs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5571/14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overflowPunct w:val="false"/>
        <w:autoSpaceDE w:val="false"/>
        <w:spacing w:lineRule="auto" w:line="360" w:before="0" w:after="160"/>
        <w:ind w:start="1134" w:end="567"/>
        <w:jc w:val="both"/>
        <w:rPr>
          <w:rFonts w:ascii="Arial TUR;Arial" w:hAnsi="Arial TUR;Arial" w:cs="Arial TUR;Arial"/>
          <w:b/>
          <w:bCs/>
          <w:spacing w:val="10"/>
          <w:lang w:val="en-US" w:eastAsia="en-US"/>
        </w:rPr>
      </w:pP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בבואו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לגזור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דינו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קטין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שהורשע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בפלילים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...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מקנה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בית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המשפט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משקל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יתר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לנסיבותיו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האישיות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הקטין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ולסיכוייו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להשתקם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מדיניות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זו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מושתתת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שלושה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טעמים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עיקריים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: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האחד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גילו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הצעיר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הקטין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הגורם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לכך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שהתנהגותו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העבריינית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עלולה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להיות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תוצאה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חוסר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בגרות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בשלות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והבנה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חומרת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המעשים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והשלכותיהם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;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שנית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הרצון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להגן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קטינים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מפני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תנאי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כליאה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קשים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ומהיחשפות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לדפוסי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התנהגות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עבריינית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בבית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הסוהר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שעלולה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להיטמע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בקטינים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ולפגוע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בסיכוייהם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להשתקם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;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ושלישית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השאיפה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לשקם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קטינים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שחייהם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בתחילת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דרכם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לפני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שתוחמץ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ההזדמנות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לכך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...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עם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זאת</w:t>
      </w:r>
      <w:r>
        <w:rPr>
          <w:rFonts w:cs="Century" w:ascii="Century" w:hAnsi="Century"/>
          <w:b/>
          <w:bCs/>
          <w:rtl w:val="true"/>
          <w:lang w:val="en-US" w:eastAsia="en-US"/>
        </w:rPr>
        <w:t xml:space="preserve">,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יש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לזכור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כי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קטינות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אינה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מהווה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מגן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או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מקנה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חסינות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מפני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ענישה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פלילית</w:t>
      </w:r>
      <w:r>
        <w:rPr>
          <w:rFonts w:cs="Century" w:ascii="Century" w:hAnsi="Century"/>
          <w:b/>
          <w:bCs/>
          <w:rtl w:val="true"/>
          <w:lang w:val="en-US" w:eastAsia="en-US"/>
        </w:rPr>
        <w:t xml:space="preserve">,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ולצד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משקל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היתר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שניתן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לנסיבות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האינדיבידואליות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ולשיקולי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השיקום</w:t>
      </w:r>
      <w:r>
        <w:rPr>
          <w:rFonts w:cs="Century" w:ascii="Century" w:hAnsi="Century"/>
          <w:b/>
          <w:bCs/>
          <w:rtl w:val="true"/>
          <w:lang w:val="en-US" w:eastAsia="en-US"/>
        </w:rPr>
        <w:t xml:space="preserve">,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יש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להקנות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משקל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הולם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גם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לשיקולי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ההרתעה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והגמול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בהתחשב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בנסיבות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העבירה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...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רקע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שיקולים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אלה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נקבע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בפסיקתנו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גזירת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עונשו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קטין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מצריכה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איזון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בין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השיקולים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הבאים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שחלקם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קשורים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זה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בזה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: (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)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חומרת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העבירה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ונסיבותיה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; (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)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גילו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הקטין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בעת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ביצוע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העבירה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–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ככל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שהקטין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צעיר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יותר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כך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יטה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בית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המשפט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להעדיף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הפעלה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אמצעים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שיקומיים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פני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אמצעים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עונשיים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; (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ג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)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הבעת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חרטה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כנה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ונטילת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אחריות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למעשים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מהווה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שיקול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לקולה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; (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ד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)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סיכויי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השיקום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–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בהקשר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זה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מוקנה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משקל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ניכר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לתהליכי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השיקום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שהקטין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עבר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עד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לשלב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גזירת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העונש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כפי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שהוא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עולה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מעמדתם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הגורמים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הטיפוליים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והמקצועיים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כעולה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בתסקיר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שירות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המבחן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; (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)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עברו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הפלילי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של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הקטין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–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עבר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פלילי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הוא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שיקול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לחומרה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והיעדרו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הוא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שיקול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לקולה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" (</w:t>
      </w:r>
      <w:hyperlink r:id="rId35">
        <w:r>
          <w:rPr>
            <w:rStyle w:val="Hyperlink"/>
            <w:rFonts w:ascii="Arial TUR;Arial" w:hAnsi="Arial TUR;Arial" w:cs="Arial TUR;Arial"/>
            <w:b/>
            <w:b/>
            <w:bCs/>
            <w:color w:val="0000FF"/>
            <w:spacing w:val="10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 TUR;Arial" w:ascii="Arial TUR;Arial" w:hAnsi="Arial TUR;Arial"/>
            <w:b/>
            <w:bCs/>
            <w:color w:val="0000FF"/>
            <w:spacing w:val="10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 TUR;Arial" w:hAnsi="Arial TUR;Arial" w:cs="Arial TUR;Arial"/>
            <w:b/>
            <w:b/>
            <w:bCs/>
            <w:color w:val="0000FF"/>
            <w:spacing w:val="10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 TUR;Arial" w:hAnsi="Arial TUR;Arial" w:cs="Arial TUR;Arial"/>
            <w:b/>
            <w:b/>
            <w:bCs/>
            <w:color w:val="0000FF"/>
            <w:spacing w:val="10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Arial TUR;Arial" w:ascii="Arial TUR;Arial" w:hAnsi="Arial TUR;Arial"/>
            <w:b/>
            <w:bCs/>
            <w:color w:val="0000FF"/>
            <w:spacing w:val="10"/>
            <w:u w:val="single"/>
            <w:lang w:val="en-US" w:eastAsia="en-US"/>
          </w:rPr>
          <w:t>3203/13</w:t>
        </w:r>
      </w:hyperlink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מדינת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ישראל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 xml:space="preserve">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נ</w:t>
      </w:r>
      <w:r>
        <w:rPr>
          <w:rFonts w:cs="Century" w:ascii="Century" w:hAnsi="Century"/>
          <w:b/>
          <w:bCs/>
          <w:rtl w:val="true"/>
          <w:lang w:val="en-US" w:eastAsia="en-US"/>
        </w:rPr>
        <w:t xml:space="preserve">' </w:t>
      </w:r>
      <w:r>
        <w:rPr>
          <w:rFonts w:ascii="Century" w:hAnsi="Century" w:cs="Century"/>
          <w:b/>
          <w:b/>
          <w:bCs/>
          <w:rtl w:val="true"/>
          <w:lang w:val="en-US" w:eastAsia="en-US"/>
        </w:rPr>
        <w:t>פלוני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]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פסקה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cs="Arial TUR;Arial" w:ascii="Arial TUR;Arial" w:hAnsi="Arial TUR;Arial"/>
          <w:b/>
          <w:bCs/>
          <w:spacing w:val="10"/>
          <w:lang w:val="en-US" w:eastAsia="en-US"/>
        </w:rPr>
        <w:t>9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 (</w:t>
      </w:r>
      <w:r>
        <w:rPr>
          <w:rFonts w:cs="Arial TUR;Arial" w:ascii="Arial TUR;Arial" w:hAnsi="Arial TUR;Arial"/>
          <w:b/>
          <w:bCs/>
          <w:spacing w:val="10"/>
          <w:lang w:val="en-US" w:eastAsia="en-US"/>
        </w:rPr>
        <w:t>20.11.2013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))..."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מן הכלל אל הפרט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מדובר בעבירה חמורה שהעונש המרבי הקבוע לצידה הוא עד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ביחד עם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קשרו קשר על מנת להצית את הקטנוע שבבעלותו של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יזם את המעשה ואף הבטיח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סך </w:t>
      </w: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עבור השתתפותו בביצוע המעשה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מדובר במעשה מתוכנן אשר לשם ביצוע המעשה הנאשמים הצטיידו בבקבוק משקה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אקסל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מלא בבנזין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חומרה יתירה באה לידי ביטוי בכך שהנאשמים הגיעו בשעות הלילה למקום בו החנה המתלונן את הקטנוע הנאשם שפך את הבנזין על הקטנוע ונאשם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הציתו באמצעות מצית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באיזור מגורים צפוף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בעיר העתיקה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מאוחרת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>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לסכנה</w:t>
      </w:r>
      <w:r>
        <w:rPr>
          <w:rFonts w:cs="Calibri" w:ascii="Calibri" w:hAnsi="Calibri"/>
          <w:rtl w:val="true"/>
          <w:lang w:val="en-US" w:eastAsia="en-US"/>
        </w:rPr>
        <w:t>,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כך שבנקל יכלה האש להתפשט ולפגוע ברכוש נוסף ואף בנפש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גחמה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רגעית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מוקדם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מתוכננת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ומתוזמנת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מראש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האש כובתה על ידי שירותי כבאות אשר הוזעקו למקום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 בשל  הנאשמים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מהשריפה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Calibri" w:ascii="Calibri" w:hAnsi="Calibri"/>
          <w:sz w:val="12"/>
          <w:szCs w:val="12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sz w:val="20"/>
          <w:lang w:val="en-US" w:eastAsia="he-IL"/>
        </w:rPr>
      </w:pPr>
      <w:r>
        <w:rPr>
          <w:rFonts w:ascii="Arial" w:hAnsi="Arial" w:cs="Arial"/>
          <w:rtl w:val="true"/>
          <w:lang w:val="en-US" w:eastAsia="en-US"/>
        </w:rPr>
        <w:t>לקולא שקלתי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מדובר בנאשם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הודה במעשיו כך שחסך זמן שיפוטי יקר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נעדר עבר פלילי ומנהל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ומתסקיר שירות המבחן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שהנאשם שיתף פעולה עם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לקח אחריות על מעשיו </w:t>
      </w:r>
      <w:r>
        <w:rPr>
          <w:sz w:val="20"/>
          <w:sz w:val="20"/>
          <w:rtl w:val="true"/>
          <w:lang w:val="en-US" w:eastAsia="he-IL"/>
        </w:rPr>
        <w:t>הביע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חרטה</w:t>
      </w:r>
      <w:r>
        <w:rPr>
          <w:sz w:val="20"/>
          <w:rtl w:val="true"/>
          <w:lang w:val="en-US" w:eastAsia="he-IL"/>
        </w:rPr>
        <w:t xml:space="preserve">, </w:t>
      </w:r>
      <w:r>
        <w:rPr>
          <w:sz w:val="20"/>
          <w:sz w:val="20"/>
          <w:rtl w:val="true"/>
          <w:lang w:val="en-US" w:eastAsia="he-IL"/>
        </w:rPr>
        <w:t>הוא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מבטא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רצון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כן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ואמיתי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להשתלב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בחברה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ולתפקד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באורח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נורמטיבי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והצליח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להשתלב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בלימודים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</w:t>
      </w:r>
      <w:r>
        <w:rPr>
          <w:sz w:val="20"/>
          <w:sz w:val="20"/>
          <w:rtl w:val="true"/>
          <w:lang w:val="en-US" w:eastAsia="he-IL"/>
        </w:rPr>
        <w:t>במקום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תעסוקה</w:t>
      </w:r>
      <w:r>
        <w:rPr>
          <w:sz w:val="20"/>
          <w:rtl w:val="true"/>
          <w:lang w:val="en-US" w:eastAsia="he-IL"/>
        </w:rPr>
        <w:t>.</w:t>
      </w:r>
      <w:r>
        <w:rPr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עוד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לקחתי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בחשבון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החיובית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sz w:val="20"/>
          <w:rtl w:val="true"/>
          <w:lang w:val="en-US" w:eastAsia="he-IL"/>
        </w:rPr>
        <w:t xml:space="preserve">. </w:t>
      </w:r>
      <w:r>
        <w:rPr>
          <w:sz w:val="20"/>
          <w:sz w:val="20"/>
          <w:rtl w:val="true"/>
          <w:lang w:val="en-US" w:eastAsia="he-IL"/>
        </w:rPr>
        <w:t>כמו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כן</w:t>
      </w:r>
      <w:r>
        <w:rPr>
          <w:sz w:val="20"/>
          <w:rtl w:val="true"/>
          <w:lang w:val="en-US" w:eastAsia="he-IL"/>
        </w:rPr>
        <w:t xml:space="preserve">, </w:t>
      </w:r>
      <w:r>
        <w:rPr>
          <w:sz w:val="20"/>
          <w:sz w:val="20"/>
          <w:rtl w:val="true"/>
          <w:lang w:val="en-US" w:eastAsia="he-IL"/>
        </w:rPr>
        <w:t>כתב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האישום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הוגש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שנה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ותשעה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חודשים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לאחר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האירוע</w:t>
      </w:r>
      <w:r>
        <w:rPr>
          <w:sz w:val="20"/>
          <w:rtl w:val="true"/>
          <w:lang w:val="en-US" w:eastAsia="he-IL"/>
        </w:rPr>
        <w:t xml:space="preserve">, </w:t>
      </w:r>
      <w:r>
        <w:rPr>
          <w:sz w:val="20"/>
          <w:sz w:val="20"/>
          <w:rtl w:val="true"/>
          <w:lang w:val="en-US" w:eastAsia="he-IL"/>
        </w:rPr>
        <w:t>על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אף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שמדובר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בקטין</w:t>
      </w:r>
      <w:r>
        <w:rPr>
          <w:sz w:val="20"/>
          <w:rtl w:val="true"/>
          <w:lang w:val="en-US" w:eastAsia="he-IL"/>
        </w:rPr>
        <w:t xml:space="preserve">, </w:t>
      </w:r>
      <w:r>
        <w:rPr>
          <w:sz w:val="20"/>
          <w:sz w:val="20"/>
          <w:rtl w:val="true"/>
          <w:lang w:val="en-US" w:eastAsia="he-IL"/>
        </w:rPr>
        <w:t>ולא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בכדי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נקבע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שיש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להגיש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כתב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אישום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בתוך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שנה</w:t>
      </w:r>
      <w:r>
        <w:rPr>
          <w:sz w:val="20"/>
          <w:rtl w:val="true"/>
          <w:lang w:val="en-US" w:eastAsia="he-IL"/>
        </w:rPr>
        <w:t xml:space="preserve">, </w:t>
      </w:r>
      <w:r>
        <w:rPr>
          <w:sz w:val="20"/>
          <w:sz w:val="20"/>
          <w:rtl w:val="true"/>
          <w:lang w:val="en-US" w:eastAsia="he-IL"/>
        </w:rPr>
        <w:t>וזאת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נוכח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שיקולי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שיקום</w:t>
      </w:r>
      <w:r>
        <w:rPr>
          <w:sz w:val="20"/>
          <w:rtl w:val="true"/>
          <w:lang w:val="en-US" w:eastAsia="he-IL"/>
        </w:rPr>
        <w:t xml:space="preserve">, </w:t>
      </w:r>
      <w:r>
        <w:rPr>
          <w:sz w:val="20"/>
          <w:sz w:val="20"/>
          <w:rtl w:val="true"/>
          <w:lang w:val="en-US" w:eastAsia="he-IL"/>
        </w:rPr>
        <w:t>כך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שעסקינן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בשיהוי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משמעותי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מאוד</w:t>
      </w:r>
      <w:r>
        <w:rPr>
          <w:sz w:val="20"/>
          <w:rtl w:val="true"/>
          <w:lang w:val="en-US" w:eastAsia="he-IL"/>
        </w:rPr>
        <w:t xml:space="preserve">. </w:t>
      </w:r>
      <w:r>
        <w:rPr>
          <w:sz w:val="20"/>
          <w:sz w:val="20"/>
          <w:rtl w:val="true"/>
          <w:lang w:val="en-US" w:eastAsia="he-IL"/>
        </w:rPr>
        <w:t>הנאשם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לא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היה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מעורב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בפלילים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מיום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האירוע</w:t>
      </w:r>
      <w:r>
        <w:rPr>
          <w:sz w:val="20"/>
          <w:rtl w:val="true"/>
          <w:lang w:val="en-US" w:eastAsia="he-IL"/>
        </w:rPr>
        <w:t xml:space="preserve">. </w:t>
      </w:r>
      <w:r>
        <w:rPr>
          <w:sz w:val="20"/>
          <w:sz w:val="20"/>
          <w:rtl w:val="true"/>
          <w:lang w:val="en-US" w:eastAsia="he-IL"/>
        </w:rPr>
        <w:t>כן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הנאשם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ומשפחתו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פיצו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את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המתלונן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בסכום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של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lang w:val="en-US" w:eastAsia="he-IL"/>
        </w:rPr>
        <w:t>9,000</w:t>
      </w:r>
      <w:r>
        <w:rPr>
          <w:sz w:val="20"/>
          <w:rtl w:val="true"/>
          <w:lang w:val="en-US" w:eastAsia="he-IL"/>
        </w:rPr>
        <w:t xml:space="preserve"> </w:t>
      </w:r>
      <w:r>
        <w:rPr>
          <w:rFonts w:eastAsia="David" w:ascii="David" w:hAnsi="David"/>
          <w:sz w:val="20"/>
          <w:rtl w:val="true"/>
          <w:lang w:val="en-US" w:eastAsia="he-IL"/>
        </w:rPr>
        <w:t>₪</w:t>
      </w:r>
      <w:r>
        <w:rPr>
          <w:sz w:val="20"/>
          <w:rtl w:val="true"/>
          <w:lang w:val="en-US" w:eastAsia="he-IL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8"/>
          <w:szCs w:val="12"/>
          <w:lang w:val="en-US" w:eastAsia="he-IL"/>
        </w:rPr>
      </w:pPr>
      <w:r>
        <w:rPr>
          <w:sz w:val="8"/>
          <w:szCs w:val="12"/>
          <w:rtl w:val="true"/>
          <w:lang w:val="en-US"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 ההצתה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פונקציה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הבגירות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שיקומי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תוצאות המעשה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פוטנציאל הסיכון לחיי אדם ולרכוש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תכנון מוקדם ועברו הפלילי של 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הדוגמאות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440" w:end="0"/>
        <w:contextualSpacing/>
        <w:jc w:val="both"/>
        <w:rPr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4311/12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מילאד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8.11.12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נאשם בן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בהצתת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אהבה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נכזבת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ונדון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הפחית את עונשו לשישה חודשי מאסר בעבודות שירות 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הנקי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חרטתו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המתלוננת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והתרשמותו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עברייניים</w:t>
      </w:r>
      <w:r>
        <w:rPr>
          <w:rtl w:val="true"/>
          <w:lang w:val="en-US" w:eastAsia="en-US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7045/12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אלטנאי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11.03.13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tl w:val="true"/>
        </w:rPr>
        <w:t xml:space="preserve">, </w:t>
      </w:r>
      <w:r>
        <w:rPr>
          <w:rtl w:val="true"/>
        </w:rPr>
        <w:t>שמנע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lang w:val="en-US" w:eastAsia="he-IL"/>
        </w:rPr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9427/11</w:t>
        </w:r>
      </w:hyperlink>
      <w:r>
        <w:rPr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מדינת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ישראל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</w:t>
      </w:r>
      <w:r>
        <w:rPr>
          <w:b/>
          <w:bCs/>
          <w:rtl w:val="true"/>
          <w:lang w:val="en-US" w:eastAsia="he-IL"/>
        </w:rPr>
        <w:t xml:space="preserve">' </w:t>
      </w:r>
      <w:r>
        <w:rPr>
          <w:b/>
          <w:b/>
          <w:bCs/>
          <w:rtl w:val="true"/>
          <w:lang w:val="en-US" w:eastAsia="he-IL"/>
        </w:rPr>
        <w:t>אנידג</w:t>
      </w:r>
      <w:r>
        <w:rPr>
          <w:b/>
          <w:bCs/>
          <w:rtl w:val="true"/>
          <w:lang w:val="en-US" w:eastAsia="he-IL"/>
        </w:rPr>
        <w:t>'</w:t>
      </w:r>
      <w:r>
        <w:rPr>
          <w:b/>
          <w:b/>
          <w:bCs/>
          <w:rtl w:val="true"/>
          <w:lang w:val="en-US" w:eastAsia="he-IL"/>
        </w:rPr>
        <w:t>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ואח</w:t>
      </w:r>
      <w:r>
        <w:rPr>
          <w:b/>
          <w:bCs/>
          <w:rtl w:val="true"/>
          <w:lang w:val="en-US" w:eastAsia="he-IL"/>
        </w:rPr>
        <w:t>'</w:t>
      </w:r>
      <w:r>
        <w:rPr>
          <w:rtl w:val="true"/>
          <w:lang w:val="en-US" w:eastAsia="he-IL"/>
        </w:rPr>
        <w:t xml:space="preserve"> (</w:t>
      </w:r>
      <w:r>
        <w:rPr>
          <w:lang w:val="en-US" w:eastAsia="he-IL"/>
        </w:rPr>
        <w:t>16.2.12</w:t>
      </w:r>
      <w:r>
        <w:rPr>
          <w:rtl w:val="true"/>
          <w:lang w:val="en-US" w:eastAsia="he-IL"/>
        </w:rPr>
        <w:t xml:space="preserve">):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הציתו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משאית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המתלוננת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תחרות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עסקית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מעסיקו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המחוזי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שירוצו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בדרך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עבודות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בנוסף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לעונשים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נלווים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המאשימה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ערערה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העליון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קולת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העונש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העליון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דחה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ערעור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ישראל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</w:t>
      </w:r>
      <w:r>
        <w:rPr>
          <w:rtl w:val="true"/>
          <w:lang w:val="en-US" w:eastAsia="he-IL"/>
        </w:rPr>
        <w:t>התייחס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לחומרת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ולמניע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נסיבותיהם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עברם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הנקי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והתסקירים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החיוביים</w:t>
      </w:r>
      <w:r>
        <w:rPr>
          <w:rtl w:val="true"/>
          <w:lang w:val="en-US" w:eastAsia="he-IL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sz w:val="12"/>
          <w:szCs w:val="12"/>
          <w:lang w:val="en-US" w:eastAsia="he-IL"/>
        </w:rPr>
      </w:pPr>
      <w:r>
        <w:rPr>
          <w:sz w:val="12"/>
          <w:szCs w:val="12"/>
          <w:rtl w:val="true"/>
          <w:lang w:val="en-US" w:eastAsia="he-IL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17.5.18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Calibri" w:hAnsi="Calibri" w:cs="Calibri"/>
          <w:lang w:val="en-US" w:eastAsia="en-US"/>
        </w:rPr>
      </w:pPr>
      <w:r>
        <w:rPr>
          <w:rtl w:val="true"/>
        </w:rPr>
        <w:t>ב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9773-03-10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אזולאי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16.9.13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בהצתת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משאית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המיוחדות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>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43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44470-10-11</w:t>
        </w:r>
      </w:hyperlink>
      <w:r>
        <w:rPr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/>
          <w:bCs/>
          <w:rtl w:val="true"/>
          <w:lang w:val="en-US" w:eastAsia="en-US"/>
        </w:rPr>
        <w:t>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סוועאד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 xml:space="preserve"> </w:t>
      </w:r>
      <w:r>
        <w:rPr>
          <w:lang w:val="en-US" w:eastAsia="en-US"/>
        </w:rPr>
        <w:t>1.4.12</w:t>
      </w:r>
      <w:r>
        <w:rPr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הצית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מעסיקו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העבודה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חיובי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Segoe UI" w:hAnsi="Segoe UI" w:cs="Segoe UI"/>
          <w:color w:val="000000"/>
          <w:lang w:val="en-US" w:eastAsia="en-US"/>
        </w:rPr>
      </w:pPr>
      <w:r>
        <w:rPr>
          <w:rFonts w:ascii="Calibri" w:hAnsi="Calibri" w:cs="Calibri"/>
          <w:rtl w:val="true"/>
          <w:lang w:val="en-US" w:eastAsia="he-IL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he-IL"/>
          </w:rPr>
          <w:t>36188-05-15</w:t>
        </w:r>
      </w:hyperlink>
      <w:r>
        <w:rPr>
          <w:rFonts w:cs="Calibri" w:ascii="Calibri" w:hAnsi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נ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מוחמד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אלהור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cs="Calibri" w:ascii="Calibri" w:hAnsi="Calibri"/>
          <w:rtl w:val="true"/>
          <w:lang w:val="en-US" w:eastAsia="he-IL"/>
        </w:rPr>
        <w:t>(</w:t>
      </w:r>
      <w:r>
        <w:rPr>
          <w:rFonts w:cs="Calibri" w:ascii="Calibri" w:hAnsi="Calibri"/>
          <w:lang w:val="en-US" w:eastAsia="he-IL"/>
        </w:rPr>
        <w:t>26.7.16</w:t>
      </w:r>
      <w:r>
        <w:rPr>
          <w:rFonts w:cs="Calibri" w:ascii="Calibri" w:hAnsi="Calibri"/>
          <w:rtl w:val="true"/>
          <w:lang w:val="en-US" w:eastAsia="he-IL"/>
        </w:rPr>
        <w:t xml:space="preserve">) </w:t>
      </w:r>
      <w:r>
        <w:rPr>
          <w:rFonts w:ascii="Calibri" w:hAnsi="Calibri" w:cs="Calibri"/>
          <w:rtl w:val="true"/>
          <w:lang w:val="en-US" w:eastAsia="he-IL"/>
        </w:rPr>
        <w:t>הנאשם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הורשע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בעבירות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הצתה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וחבלה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במזיד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ברכב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לאחר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שמיעת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ראיות</w:t>
      </w:r>
      <w:r>
        <w:rPr>
          <w:rFonts w:cs="Calibri" w:ascii="Calibri" w:hAnsi="Calibri"/>
          <w:rtl w:val="true"/>
          <w:lang w:val="en-US" w:eastAsia="he-IL"/>
        </w:rPr>
        <w:t xml:space="preserve">. </w:t>
      </w:r>
      <w:r>
        <w:rPr>
          <w:rFonts w:ascii="Calibri" w:hAnsi="Calibri" w:cs="Calibri"/>
          <w:rtl w:val="true"/>
          <w:lang w:val="en-US" w:eastAsia="he-IL"/>
        </w:rPr>
        <w:t>הנאשם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הצטרף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לשניים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אחרים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ויחד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הם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שרפו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שלושה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כלי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רכב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של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המתלונן</w:t>
      </w:r>
      <w:r>
        <w:rPr>
          <w:rFonts w:cs="Calibri" w:ascii="Calibri" w:hAnsi="Calibri"/>
          <w:rtl w:val="true"/>
          <w:lang w:val="en-US" w:eastAsia="he-IL"/>
        </w:rPr>
        <w:t xml:space="preserve">. </w:t>
      </w:r>
      <w:r>
        <w:rPr>
          <w:rFonts w:ascii="Calibri" w:hAnsi="Calibri" w:cs="Calibri"/>
          <w:rtl w:val="true"/>
          <w:lang w:val="en-US" w:eastAsia="he-IL"/>
        </w:rPr>
        <w:t>בית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המשפט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קבע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כי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המתחם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נע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בין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cs="Segoe UI" w:ascii="Segoe UI" w:hAnsi="Segoe UI"/>
          <w:color w:val="000000"/>
          <w:lang w:val="en-US" w:eastAsia="en-US"/>
        </w:rPr>
        <w:t>6</w:t>
      </w:r>
      <w:r>
        <w:rPr>
          <w:rFonts w:cs="Segoe UI" w:ascii="Segoe UI" w:hAnsi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חודשי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מאסר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שיכול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וירוצו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בעבודת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שירות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לבין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cs="Segoe UI" w:ascii="Segoe UI" w:hAnsi="Segoe UI"/>
          <w:color w:val="000000"/>
          <w:lang w:val="en-US" w:eastAsia="en-US"/>
        </w:rPr>
        <w:t>15</w:t>
      </w:r>
      <w:r>
        <w:rPr>
          <w:rFonts w:cs="Segoe UI" w:ascii="Segoe UI" w:hAnsi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חודשי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מאסר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Segoe UI" w:hAnsi="Segoe UI" w:cs="Segoe UI"/>
          <w:color w:val="000000"/>
          <w:rtl w:val="true"/>
          <w:lang w:val="en-US" w:eastAsia="en-US"/>
        </w:rPr>
        <w:t>בפועל</w:t>
      </w:r>
      <w:r>
        <w:rPr>
          <w:rFonts w:ascii="Segoe UI" w:hAnsi="Segoe UI" w:cs="Segoe UI"/>
          <w:color w:val="000000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שירוצו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Segoe UI" w:ascii="Segoe UI" w:hAnsi="Segoe UI"/>
          <w:color w:val="000000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rFonts w:ascii="Segoe UI" w:hAnsi="Segoe UI" w:cs="Segoe UI"/>
          <w:color w:val="000000"/>
          <w:sz w:val="12"/>
          <w:szCs w:val="12"/>
          <w:lang w:val="en-US" w:eastAsia="en-US"/>
        </w:rPr>
      </w:pPr>
      <w:r>
        <w:rPr>
          <w:rFonts w:cs="Segoe UI" w:ascii="Segoe UI" w:hAnsi="Segoe UI"/>
          <w:color w:val="000000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4867-08-14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דנדקר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20.05.15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חיובי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ביהמ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-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שירוצו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 לעקרון אחידות 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לכאורה היה מקום בשל </w:t>
      </w:r>
      <w:r>
        <w:rPr>
          <w:rtl w:val="true"/>
          <w:lang w:val="en-US" w:eastAsia="en-US"/>
        </w:rPr>
        <w:t>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שעונש</w:t>
      </w:r>
      <w:r>
        <w:rPr>
          <w:rtl w:val="true"/>
          <w:lang w:val="en-US" w:eastAsia="en-US"/>
        </w:rPr>
        <w:t>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הכול</w:t>
      </w:r>
      <w:r>
        <w:rPr>
          <w:rtl w:val="true"/>
          <w:lang w:val="en-US" w:eastAsia="en-US"/>
        </w:rPr>
        <w:t>: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עקרון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אחידות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עקרון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מנחה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הישראלי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hyperlink r:id="rId46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169/14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קפלן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b/>
          <w:bCs/>
          <w:rtl w:val="true"/>
          <w:lang w:val="en-US" w:eastAsia="en-US"/>
        </w:rPr>
        <w:t>, [</w:t>
      </w:r>
      <w:r>
        <w:rPr>
          <w:b/>
          <w:b/>
          <w:bCs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בנבו</w:t>
      </w:r>
      <w:r>
        <w:rPr>
          <w:b/>
          <w:bCs/>
          <w:rtl w:val="true"/>
          <w:lang w:val="en-US" w:eastAsia="en-US"/>
        </w:rPr>
        <w:t xml:space="preserve">]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8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והאסמכתאות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16.12.2014</w:t>
      </w:r>
      <w:r>
        <w:rPr>
          <w:b/>
          <w:bCs/>
          <w:rtl w:val="true"/>
          <w:lang w:val="en-US" w:eastAsia="en-US"/>
        </w:rPr>
        <w:t xml:space="preserve">); </w:t>
      </w:r>
      <w:hyperlink r:id="rId47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2580/14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[</w:t>
      </w:r>
      <w:r>
        <w:rPr>
          <w:b/>
          <w:b/>
          <w:bCs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בנבו</w:t>
      </w:r>
      <w:r>
        <w:rPr>
          <w:b/>
          <w:bCs/>
          <w:rtl w:val="true"/>
          <w:lang w:val="en-US" w:eastAsia="en-US"/>
        </w:rPr>
        <w:t xml:space="preserve">]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19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והאסמכתאות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23.9.2014</w:t>
      </w:r>
      <w:r>
        <w:rPr>
          <w:b/>
          <w:bCs/>
          <w:rtl w:val="true"/>
          <w:lang w:val="en-US" w:eastAsia="en-US"/>
        </w:rPr>
        <w:t xml:space="preserve">)). </w:t>
      </w:r>
      <w:r>
        <w:rPr>
          <w:b/>
          <w:b/>
          <w:bCs/>
          <w:rtl w:val="true"/>
          <w:lang w:val="en-US" w:eastAsia="en-US"/>
        </w:rPr>
        <w:t>מעקרון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נגזרת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הולמת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שותפים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שמדרג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ביניהם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ישקף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חלקם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היחסי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b/>
          <w:bCs/>
          <w:rtl w:val="true"/>
          <w:lang w:val="en-US" w:eastAsia="en-US"/>
        </w:rPr>
        <w:t>" (</w:t>
      </w:r>
      <w:hyperlink r:id="rId48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6917/13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דניאל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טייברג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b/>
          <w:bCs/>
          <w:rtl w:val="true"/>
          <w:lang w:val="en-US" w:eastAsia="en-US"/>
        </w:rPr>
        <w:t>, [</w:t>
      </w:r>
      <w:r>
        <w:rPr>
          <w:b/>
          <w:b/>
          <w:bCs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בנבו</w:t>
      </w:r>
      <w:r>
        <w:rPr>
          <w:b/>
          <w:bCs/>
          <w:rtl w:val="true"/>
          <w:lang w:val="en-US" w:eastAsia="en-US"/>
        </w:rPr>
        <w:t xml:space="preserve">]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9</w:t>
      </w:r>
      <w:r>
        <w:rPr>
          <w:b/>
          <w:bCs/>
          <w:rtl w:val="true"/>
          <w:lang w:val="en-US" w:eastAsia="en-US"/>
        </w:rPr>
        <w:t xml:space="preserve"> (</w:t>
      </w:r>
      <w:r>
        <w:rPr>
          <w:b/>
          <w:bCs/>
          <w:lang w:val="en-US" w:eastAsia="en-US"/>
        </w:rPr>
        <w:t>2.12.2013</w:t>
      </w:r>
      <w:r>
        <w:rPr>
          <w:b/>
          <w:bCs/>
          <w:rtl w:val="true"/>
          <w:lang w:val="en-US" w:eastAsia="en-US"/>
        </w:rPr>
        <w:t xml:space="preserve">)).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פעמים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הובהר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בפסיקה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עקרון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אחידות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חזות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שם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9</w:t>
      </w:r>
      <w:r>
        <w:rPr>
          <w:b/>
          <w:bCs/>
          <w:rtl w:val="true"/>
          <w:lang w:val="en-US" w:eastAsia="en-US"/>
        </w:rPr>
        <w:t xml:space="preserve">; </w:t>
      </w:r>
      <w:hyperlink r:id="rId49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8355/13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[</w:t>
      </w:r>
      <w:r>
        <w:rPr>
          <w:b/>
          <w:b/>
          <w:bCs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בנבו</w:t>
      </w:r>
      <w:r>
        <w:rPr>
          <w:b/>
          <w:bCs/>
          <w:rtl w:val="true"/>
          <w:lang w:val="en-US" w:eastAsia="en-US"/>
        </w:rPr>
        <w:t>] (</w:t>
      </w:r>
      <w:r>
        <w:rPr>
          <w:b/>
          <w:bCs/>
          <w:lang w:val="en-US" w:eastAsia="en-US"/>
        </w:rPr>
        <w:t>18.11.2014</w:t>
      </w:r>
      <w:r>
        <w:rPr>
          <w:b/>
          <w:bCs/>
          <w:rtl w:val="true"/>
          <w:lang w:val="en-US" w:eastAsia="en-US"/>
        </w:rPr>
        <w:t xml:space="preserve">) </w:t>
      </w:r>
      <w:r>
        <w:rPr>
          <w:b/>
          <w:b/>
          <w:bCs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להתחשב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ובנסיבותיו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האישיות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העבריין</w:t>
      </w:r>
      <w:r>
        <w:rPr>
          <w:b/>
          <w:bCs/>
          <w:rtl w:val="true"/>
          <w:lang w:val="en-US" w:eastAsia="en-US"/>
        </w:rPr>
        <w:t>."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hyperlink r:id="rId50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1727/14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אבנר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מימון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6.1.15</w:t>
      </w:r>
      <w:r>
        <w:rPr>
          <w:rtl w:val="true"/>
          <w:lang w:val="en-US" w:eastAsia="en-US"/>
        </w:rPr>
        <w:t>))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  <w:lang w:val="en-US" w:eastAsia="en-US"/>
        </w:rPr>
      </w:pPr>
      <w:r>
        <w:rPr>
          <w:rFonts w:cs="Calibri" w:ascii="Calibri" w:hAnsi="Calibri"/>
          <w:sz w:val="12"/>
          <w:szCs w:val="12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 xml:space="preserve">על 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הוטל עונש של שישה חודשי מאסר שירוצו בעבודות שירות ומאסר מותנה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 הנאשם היה 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דומיננטי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 xml:space="preserve">במעשים ויזם את האירוע בעוד שנאשם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נגרר אחריו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אולם הנאשם שלפניי היה קטין בעת ביצוע מעשה 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בעוד שנאשם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 בגיר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הוא עבר הליך שיקום מלא ויוצא דופן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שיקומו עלול להיפגע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 יוטל עליו מאסר ולו בעבודות שירות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וזאת נוכח לימודיו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והמטלות הרבות המוטלות על שכמו בשל מחלת אביו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בשים לב לכל אלה ובמיוחד לשיהוי המשמעותי בהגשת כתב 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שלו היה מוגש במועד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 להניח שההליך המשפטי היה מסתיים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עוד טרם שהחל בלימודיו במכללה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 שלא היתה מתגבשת מניעה שירצה מאסר בעבודות שירות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אשר על כן מצאתי לבכר בעניינו שיקולי שיקום ולהטיל עליו 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כדלהלן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tl w:val="true"/>
          <w:lang w:val="en-US" w:eastAsia="en-US"/>
        </w:rPr>
        <w:t>שמונה</w:t>
      </w:r>
      <w:r>
        <w:rPr>
          <w:rFonts w:ascii="Arial" w:hAnsi="Arial" w:cs="Arial"/>
          <w:rtl w:val="true"/>
          <w:lang w:val="en-US" w:eastAsia="en-US"/>
        </w:rPr>
        <w:t xml:space="preserve"> חודשי מאסר על תנאי למשך שנתיים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והתנאי הוא שלא יעבור עבירה של הצתה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חודשיים מאסר על תנאי למשך שנתיים שלא יעבור עבירה של היזק בזדון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5,000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תחתיו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בעשרה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שווים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ורצופים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1.1.19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במועדו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במלאו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לפירעון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מידי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תוכנית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sz w:val="12"/>
          <w:szCs w:val="12"/>
          <w:lang w:val="en-US" w:eastAsia="en-US"/>
        </w:rPr>
      </w:pPr>
      <w:r>
        <w:rPr>
          <w:rtl w:val="true"/>
          <w:lang w:val="en-US" w:eastAsia="en-US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מוזהר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מחדש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  <w:lang w:val="en-US" w:eastAsia="en-US"/>
        </w:rPr>
      </w:pPr>
      <w:r>
        <w:rPr>
          <w:sz w:val="12"/>
          <w:szCs w:val="1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המזכירות תשלח העתק גזר הדין לשירות המבחן לנוער ולממונה על עבודות השירות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מהיום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בנוכחות הצדדים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בתשרי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17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בספטמבר </w:t>
      </w:r>
      <w:r>
        <w:rPr>
          <w:rFonts w:cs="Arial" w:ascii="Arial" w:hAnsi="Arial"/>
          <w:b/>
          <w:bCs/>
          <w:lang w:val="en-US" w:eastAsia="en-US"/>
        </w:rPr>
        <w:t>2018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חנה מרים לומפ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שופטת</w:t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63147-12-16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David"/>
      <w:b w:val="false"/>
      <w:bCs w:val="false"/>
      <w:sz w:val="24"/>
      <w:szCs w:val="24"/>
      <w:lang w:val="en-US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David"/>
      <w:sz w:val="26"/>
      <w:szCs w:val="26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  <w:sz w:val="22"/>
      <w:szCs w:val="22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b w:val="false"/>
      <w:bCs w:val="false"/>
      <w:sz w:val="24"/>
      <w:szCs w:val="24"/>
    </w:rPr>
  </w:style>
  <w:style w:type="character" w:styleId="WW8Num5z1">
    <w:name w:val="WW8Num5z1"/>
    <w:qFormat/>
    <w:rPr>
      <w:sz w:val="24"/>
      <w:szCs w:val="24"/>
    </w:rPr>
  </w:style>
  <w:style w:type="character" w:styleId="WW8Num6z0">
    <w:name w:val="WW8Num6z0"/>
    <w:qFormat/>
    <w:rPr>
      <w:rFonts w:ascii="Symbol" w:hAnsi="Symbol" w:eastAsia="Times New Roman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cs="David"/>
      <w:b w:val="false"/>
      <w:bCs w:val="false"/>
    </w:rPr>
  </w:style>
  <w:style w:type="character" w:styleId="WW8Num7z1">
    <w:name w:val="WW8Num7z1"/>
    <w:qFormat/>
    <w:rPr>
      <w:rFonts w:cs="David"/>
      <w:sz w:val="2"/>
      <w:szCs w:val="24"/>
    </w:rPr>
  </w:style>
  <w:style w:type="character" w:styleId="WW8Num7z2">
    <w:name w:val="WW8Num7z2"/>
    <w:qFormat/>
    <w:rPr>
      <w:rFonts w:cs="Times New Roman"/>
    </w:rPr>
  </w:style>
  <w:style w:type="character" w:styleId="WW8Num8z0">
    <w:name w:val="WW8Num8z0"/>
    <w:qFormat/>
    <w:rPr>
      <w:rFonts w:cs="Times New Roman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David"/>
      <w:b w:val="false"/>
      <w:bCs w:val="false"/>
      <w:sz w:val="24"/>
      <w:szCs w:val="24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David"/>
      <w:b w:val="false"/>
      <w:bCs w:val="false"/>
      <w:sz w:val="24"/>
      <w:szCs w:val="24"/>
    </w:rPr>
  </w:style>
  <w:style w:type="character" w:styleId="WW8Num10z1">
    <w:name w:val="WW8Num10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48" TargetMode="External"/><Relationship Id="rId4" Type="http://schemas.openxmlformats.org/officeDocument/2006/relationships/hyperlink" Target="http://www.nevo.co.il/law/70348" TargetMode="External"/><Relationship Id="rId5" Type="http://schemas.openxmlformats.org/officeDocument/2006/relationships/hyperlink" Target="http://www.nevo.co.il/law/70348/1a" TargetMode="External"/><Relationship Id="rId6" Type="http://schemas.openxmlformats.org/officeDocument/2006/relationships/hyperlink" Target="http://www.nevo.co.il/law/70348/24" TargetMode="External"/><Relationship Id="rId7" Type="http://schemas.openxmlformats.org/officeDocument/2006/relationships/hyperlink" Target="http://www.nevo.co.il/law/70348/24.2" TargetMode="External"/><Relationship Id="rId8" Type="http://schemas.openxmlformats.org/officeDocument/2006/relationships/hyperlink" Target="http://www.nevo.co.il/law/70348/26" TargetMode="External"/><Relationship Id="rId9" Type="http://schemas.openxmlformats.org/officeDocument/2006/relationships/hyperlink" Target="http://www.nevo.co.il/law/70301/448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48" TargetMode="External"/><Relationship Id="rId14" Type="http://schemas.openxmlformats.org/officeDocument/2006/relationships/hyperlink" Target="http://www.nevo.co.il/law/70348/1a" TargetMode="External"/><Relationship Id="rId15" Type="http://schemas.openxmlformats.org/officeDocument/2006/relationships/hyperlink" Target="http://www.nevo.co.il/law/70348/24" TargetMode="External"/><Relationship Id="rId16" Type="http://schemas.openxmlformats.org/officeDocument/2006/relationships/hyperlink" Target="http://www.nevo.co.il/law/70348/24.2" TargetMode="External"/><Relationship Id="rId17" Type="http://schemas.openxmlformats.org/officeDocument/2006/relationships/hyperlink" Target="http://www.nevo.co.il/law/70348/26" TargetMode="External"/><Relationship Id="rId18" Type="http://schemas.openxmlformats.org/officeDocument/2006/relationships/hyperlink" Target="http://www.nevo.co.il/law/70348/24" TargetMode="External"/><Relationship Id="rId19" Type="http://schemas.openxmlformats.org/officeDocument/2006/relationships/hyperlink" Target="http://www.nevo.co.il/law/70348" TargetMode="External"/><Relationship Id="rId20" Type="http://schemas.openxmlformats.org/officeDocument/2006/relationships/hyperlink" Target="http://www.nevo.co.il/law/70348/26" TargetMode="External"/><Relationship Id="rId21" Type="http://schemas.openxmlformats.org/officeDocument/2006/relationships/hyperlink" Target="http://www.nevo.co.il/law/70348/24.2" TargetMode="External"/><Relationship Id="rId22" Type="http://schemas.openxmlformats.org/officeDocument/2006/relationships/hyperlink" Target="http://www.nevo.co.il/case/20145253" TargetMode="External"/><Relationship Id="rId23" Type="http://schemas.openxmlformats.org/officeDocument/2006/relationships/hyperlink" Target="http://www.nevo.co.il/case/11309002" TargetMode="External"/><Relationship Id="rId24" Type="http://schemas.openxmlformats.org/officeDocument/2006/relationships/hyperlink" Target="http://www.nevo.co.il/law/70348/24" TargetMode="External"/><Relationship Id="rId25" Type="http://schemas.openxmlformats.org/officeDocument/2006/relationships/hyperlink" Target="http://www.nevo.co.il/case/17016454" TargetMode="External"/><Relationship Id="rId26" Type="http://schemas.openxmlformats.org/officeDocument/2006/relationships/hyperlink" Target="http://www.nevo.co.il/case/5587202" TargetMode="External"/><Relationship Id="rId27" Type="http://schemas.openxmlformats.org/officeDocument/2006/relationships/hyperlink" Target="http://www.nevo.co.il/case/5587202" TargetMode="External"/><Relationship Id="rId28" Type="http://schemas.openxmlformats.org/officeDocument/2006/relationships/hyperlink" Target="http://www.nevo.co.il/case/3990076" TargetMode="External"/><Relationship Id="rId29" Type="http://schemas.openxmlformats.org/officeDocument/2006/relationships/hyperlink" Target="http://www.nevo.co.il/case/5770087" TargetMode="External"/><Relationship Id="rId30" Type="http://schemas.openxmlformats.org/officeDocument/2006/relationships/hyperlink" Target="http://www.nevo.co.il/case/6245771" TargetMode="External"/><Relationship Id="rId31" Type="http://schemas.openxmlformats.org/officeDocument/2006/relationships/hyperlink" Target="http://www.nevo.co.il/law/70348/1a" TargetMode="External"/><Relationship Id="rId32" Type="http://schemas.openxmlformats.org/officeDocument/2006/relationships/hyperlink" Target="http://www.nevo.co.il/case/20824817" TargetMode="External"/><Relationship Id="rId33" Type="http://schemas.openxmlformats.org/officeDocument/2006/relationships/hyperlink" Target="http://www.nevo.co.il/case/21478580" TargetMode="External"/><Relationship Id="rId34" Type="http://schemas.openxmlformats.org/officeDocument/2006/relationships/hyperlink" Target="http://www.nevo.co.il/case/17934716" TargetMode="External"/><Relationship Id="rId35" Type="http://schemas.openxmlformats.org/officeDocument/2006/relationships/hyperlink" Target="http://www.nevo.co.il/case/10486492" TargetMode="External"/><Relationship Id="rId36" Type="http://schemas.openxmlformats.org/officeDocument/2006/relationships/hyperlink" Target="http://www.nevo.co.il/case/6244684" TargetMode="External"/><Relationship Id="rId37" Type="http://schemas.openxmlformats.org/officeDocument/2006/relationships/hyperlink" Target="http://www.nevo.co.il/case/6247668" TargetMode="External"/><Relationship Id="rId38" Type="http://schemas.openxmlformats.org/officeDocument/2006/relationships/hyperlink" Target="http://www.nevo.co.il/case/5587202" TargetMode="External"/><Relationship Id="rId39" Type="http://schemas.openxmlformats.org/officeDocument/2006/relationships/hyperlink" Target="http://www.nevo.co.il/case/5598753" TargetMode="External"/><Relationship Id="rId40" Type="http://schemas.openxmlformats.org/officeDocument/2006/relationships/hyperlink" Target="http://www.nevo.co.il/case/5614586" TargetMode="External"/><Relationship Id="rId41" Type="http://schemas.openxmlformats.org/officeDocument/2006/relationships/hyperlink" Target="http://www.nevo.co.il/case/23789831" TargetMode="External"/><Relationship Id="rId42" Type="http://schemas.openxmlformats.org/officeDocument/2006/relationships/hyperlink" Target="http://www.nevo.co.il/case/5170110" TargetMode="External"/><Relationship Id="rId43" Type="http://schemas.openxmlformats.org/officeDocument/2006/relationships/hyperlink" Target="http://www.nevo.co.il/case/4625110" TargetMode="External"/><Relationship Id="rId44" Type="http://schemas.openxmlformats.org/officeDocument/2006/relationships/hyperlink" Target="http://www.nevo.co.il/case/20296123" TargetMode="External"/><Relationship Id="rId45" Type="http://schemas.openxmlformats.org/officeDocument/2006/relationships/hyperlink" Target="http://www.nevo.co.il/case/17903237" TargetMode="External"/><Relationship Id="rId46" Type="http://schemas.openxmlformats.org/officeDocument/2006/relationships/hyperlink" Target="http://www.nevo.co.il/case/11204075" TargetMode="External"/><Relationship Id="rId47" Type="http://schemas.openxmlformats.org/officeDocument/2006/relationships/hyperlink" Target="http://www.nevo.co.il/case/13104267" TargetMode="External"/><Relationship Id="rId48" Type="http://schemas.openxmlformats.org/officeDocument/2006/relationships/hyperlink" Target="http://www.nevo.co.il/case/8286014" TargetMode="External"/><Relationship Id="rId49" Type="http://schemas.openxmlformats.org/officeDocument/2006/relationships/hyperlink" Target="http://www.nevo.co.il/case/18653890" TargetMode="External"/><Relationship Id="rId50" Type="http://schemas.openxmlformats.org/officeDocument/2006/relationships/hyperlink" Target="http://www.nevo.co.il/case/17016454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2020-04-13T11:09:00Z</dcterms:created>
  <dc:creator> </dc:creator>
  <dc:description/>
  <cp:keywords/>
  <dc:language>en-IL</dc:language>
  <cp:lastModifiedBy>h9</cp:lastModifiedBy>
  <dcterms:modified xsi:type="dcterms:W3CDTF">2020-04-13T11:09:00Z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פלוני;מוחמד אבו הלאל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20145253;11309002;17016454:2;5587202:3;3990076;5770087;6245771;20824817;21478580;17934716;10486492;6244684;6247668;5598753;5614586;23789831;5170110;4625110;20296123;17903237;11204075;13104267;8286014;18653890</vt:lpwstr>
  </property>
  <property fmtid="{D5CDD505-2E9C-101B-9397-08002B2CF9AE}" pid="9" name="CITY">
    <vt:lpwstr>י-ם</vt:lpwstr>
  </property>
  <property fmtid="{D5CDD505-2E9C-101B-9397-08002B2CF9AE}" pid="10" name="DATE">
    <vt:lpwstr>20180917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70301/448</vt:lpwstr>
  </property>
  <property fmtid="{D5CDD505-2E9C-101B-9397-08002B2CF9AE}" pid="15" name="LAWLISTTMP2">
    <vt:lpwstr>70348/001a;024:2;024.2;026</vt:lpwstr>
  </property>
  <property fmtid="{D5CDD505-2E9C-101B-9397-08002B2CF9AE}" pid="16" name="LAWYER">
    <vt:lpwstr>אור גבאי;אביה גליסברג ;אוסמה חלבי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63147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390020180917</vt:lpwstr>
  </property>
  <property fmtid="{D5CDD505-2E9C-101B-9397-08002B2CF9AE}" pid="35" name="TYPE_N_DATE">
    <vt:lpwstr>39020180917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