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6321-12-16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5"/>
        <w:gridCol w:w="3760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לשכת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שלוחת רמלה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נטליה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אוסטרובסקי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הנאשמת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פלונית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מיטל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דנינו</w:t>
            </w:r>
          </w:p>
        </w:tc>
        <w:tc>
          <w:tcPr>
            <w:tcW w:w="376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פיקוח על בתי ספר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7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 </w:t>
            </w:r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כתב האישום המתוקן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הנאשמת הורשעה על פי הודאתה בכתב האישום המתוקן בביצוע עבירה של תקיפה הגורמת חבלה של ממש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הרלוונטי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הנאשמת ובעלה בהליכי גירושין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הוריו של בעלה ייקראו להלן 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המתלונן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העניין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18.8.16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19:30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שמרו המתלוננים על ילדיה של הנאשמת בביתה שבמושב גינתון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עת הגיעה הנאשמת לביתה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דרשה מהמתלוננים לעזוב את 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נתקלה בסירובם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חטפה הנאשמת את שלט הטלוויזיה שהיה בידו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כיבתה את המסך וצעקה על המתלוננים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הזמינה הנאשמת משטרה לביתה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עת שוחח שוטר עם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אחזה הנאשמת את המתלוננת בחולצתה וניסתה לגרור אותה אל דלת היציאה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באותן 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התנגדה המתלוננת לצאת מהבית ובעודה ליד משקוף הדלת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טרקה הנאשמת את הדלת ואשר פגעה במתלוננת בחלקי גופה השונים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ממעשיה של 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נגרמו למתלוננת המטומות מעל שלושת האצבעות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בכף רגל שמאל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כאבים בחזה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העת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גינתה הנאשמת את המתלוננת בכך שאמרה לה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חבל שלא מתת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וכן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הלוואי ולא תגיעי לבית חולים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 היום הכי מאושר שלי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תסקיר שירות המבחן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התקבל תסקיר מטעם שירות המבחן ואשר להלן עיקריו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הנאשמת בת 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גרושה ואם לשני ילדים בגילאי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הנאשמת בוגרת תואר ראשון במדעי ההתנהגות מהמכללה האקדמית של תל אביב יפו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הנאשמת סיימה לימודי תעודה להכשרת מטפלים בעזרת בעלי חיים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ואשר נערך על ידי מכללת סמינר הקיבוצים ובשיתוף עם המרכז לטיפול ולחינוך בעזרת בעלי חיים הידוע בשם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בולבי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המרכז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הנאשמת נעדרת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מקיימת אורח חיים נורמטיבי ועובדת מזה כחמש שנים במרכז בטיפול רגשי בילדים באמצעות בעלי חיים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האירוע מושא כתב האישום התרחש על רקע היחסים העכורים ששררו בינה לבין בעלה והוריו ואשר בסופו של דבר הסתיימו בגירושים ממנו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הסיכון להישנות התנהגות אלימה מצד הנאשמת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מצומצם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שירות המבחן המליץ להטיל על הנאשמת צו מבחן וצו שירות לתועלת הציבור בהיקף של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ביטול ההרשעה בדין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בשל החשש שאם ההרשעה תמשיך לעמוד בעינה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הנאשמת תפוטר מעבודתה במרכז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יש לציין שהנאשמת הציגה במהלך הטיעונים לעונש מכתב מהמרכז ובו נאמר כדלקמן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כחלק מתנאי העסקה אצלנו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נדרשת תעודת יושר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ידוע לנו כי מתנהל הליך פלילי כנגד חגית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במידה וחגית תורשע היא לא תוכל להמשיך לעבוד במרכזנו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המחלוקת המרכזית שעלתה מטיעוני הצדדים לעונש היא האם יש להשאיר את ההרשעה על כנה כפי שטענה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שמא יש לבטל את ההרשעה כפי שטענה ההגנה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האירוע בכללותו מחייב הרשעה בדין וזאת לאור האלימות שהופעלה והותירה חבלה על כף רגלה של 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מהות העבירה שבוצעה וגילם המבוגר של המתלוננים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טענה גם שהנאשמת לא הוכיחה שיגרם לה נזק קונקרטי היה וההרשעה תמשיך לעמוד בעינה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טענה שיש להשית על הנאשמת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 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 שירות לתועלת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פיצוי למתלוננים והתחייבות כספית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ההגנה טענה שהותרת ההרשעה על כנה היא בבחינת עונש חמור ובלתי פרופורציונאלי ועם השלכות מרחיקות לכת על עתידה המקצועי של הנאשמת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כחלק מטיעוני ההגנה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הוגש העתק של מכתבי הוקרה שקיבלה הנאשמת מהוריהם של ילדים שטופלו על ידה במרכז וזאת על מנת ללמד על מקצועיותה ומחויבותה העמוקה לעבודתה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ההגנה טענה שהעבירה של תקיפה הגורמת חבלה של ממש נכללת ברשימת העבירות שלגביהן ניתן לסיים את ההליכים ב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הסדר מותנה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דבר שמחזק אף יותר את הבקשה לסיים את התיק הנוכחי באי 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ההגנה עתרה לאמץ את המלצות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ככתבן וכלשונן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הטענה לביטול ההרשעה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נאשם שמבקש ביטול הרשעה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צריך להוכיח </w:t>
      </w:r>
      <w:r>
        <w:rPr>
          <w:rFonts w:ascii="Arial" w:hAnsi="Arial" w:cs="Arial"/>
          <w:u w:val="single"/>
          <w:rtl w:val="true"/>
        </w:rPr>
        <w:t>שני תנאים מצטברים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שהאינטרס הציבורי מאפשר לוותר על ההרשעה וזאת לאור סוג העבירה שבוצעה ונסיבות ביצועה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האינטרס הציבורי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הנאשם להוכיח שייגרם לו נזק מוחשי וקונקרטי היה וההרשעה תמשיך לעמוד בעינה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הוכחת נזק מוחשי וקונקרטי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אעמוד כעת על כל אחד מהתנאים הללו בנפרד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u w:val="single"/>
          <w:rtl w:val="true"/>
        </w:rPr>
        <w:t>התנאי הראשון</w:t>
      </w:r>
      <w:r>
        <w:rPr>
          <w:rFonts w:cs="Arial" w:ascii="Arial" w:hAnsi="Arial"/>
          <w:u w:val="single"/>
          <w:rtl w:val="true"/>
        </w:rPr>
        <w:t xml:space="preserve">: </w:t>
      </w:r>
      <w:r>
        <w:rPr>
          <w:rFonts w:ascii="Arial" w:hAnsi="Arial" w:cs="Arial"/>
          <w:u w:val="single"/>
          <w:rtl w:val="true"/>
        </w:rPr>
        <w:t>האינטרס הציבורי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הנאשמת הורשעה בביצוע עבירה של תקיפה הגורמת חבלה של ממש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תקיפה הגורמת חבלה של ממש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הרוח שנושבת מפסיקתו של בית המשפט העליון היא שבעבירה של תקיפה הגורמת חבלה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סוגה ודרגת חומרתה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האינטרס הציבורי מורה שיש להעדיף את ההרשעה על פני אי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הפסיקה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3589/14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לוזון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10.6.14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המבקש הורשע בעבירה של תקיפה הגורמת חבלה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עקב כך שהיכה במהלך כנס של ארגוני עובדים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נציג של ארגון עובדים ששונה מארגון העובדים שאליו השתייך המבקש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היה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כיהן כחבר מועצת העיר תל אביב יפו וכיושב ראש ארגון העובדים במקום עבודתו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המליץ לבטל את ההרשעה ולהסתפק בצו שירות לתועלת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אף הוכיח כי הרשעתו תמנע ממנו להשתלב במיזם חינוכי שמתקיים בבית ספר תיכון מסוים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בתל אביב ביטל את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המדינה הגישה ערעור לבית המשפט המחוזי בתל אביב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הערעור התקבל והנאשם הורשע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שהוגשה לבית המשפט העליון על ידי  המבקש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להחלטתו של כבוד השופט שוהם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נאמרו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אם אניח לטובתו של המבקש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ומבלי לקבוע מסמרות בדבר כי הוא אכן עומד בדרישה הנוגעת לפגיעה בשיקומו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סבורני כי הוא אינו עונה על התנאי השני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שענינו סוג העבירה ונסיבותיה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דבר שאינו מאפשר לסיים את ההליך באי הרשעה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ההדגשות שלי ה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')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6756/14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בן חמו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15.1.15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המבקש הורשע בביצוע עבירה של תקיפה הגורמת חבלה של ממש וזאת עקב כך שתקף את אחותו במהלך ויכוח ביניהם על כספי הוריהם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היה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לילדים ועבד כראש צוות בחברת אבטחה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פקיד הרישוי החליט לבטל את רישיון הנשק של המבקש ואשר היה ברשותו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 במסגרת תפקידו בתחום האבטחה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החלטה זו הוגשה עתירה מנהלית והרישיון הושב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המליץ על ביטול ההרשעה על מנת שלא תיפגע פרנסתו בתחום האבטחה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בירושלים דחה את המלצת שירות המבחן והרשיע את המבקש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ערעורו לבית משפט המחוזי בירושלים נדחה וכן נדחתה בקשת רשות ערעור שהגיש לבית משפט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כבוד השופט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 ציין את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סוג העבירה בה הורשע המבקש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תקיפה הגורמת חבלה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נסיבות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בהן התוקף </w:t>
      </w:r>
      <w:r>
        <w:rPr>
          <w:rFonts w:cs="Arial" w:ascii="Arial" w:hAnsi="Arial"/>
          <w:i/>
          <w:iCs/>
          <w:rtl w:val="true"/>
        </w:rPr>
        <w:t>(</w:t>
      </w:r>
      <w:r>
        <w:rPr>
          <w:rFonts w:ascii="Arial" w:hAnsi="Arial" w:cs="Arial"/>
          <w:i/>
          <w:i/>
          <w:iCs/>
          <w:rtl w:val="true"/>
        </w:rPr>
        <w:t xml:space="preserve">צריך להיות </w:t>
      </w:r>
      <w:r>
        <w:rPr>
          <w:rFonts w:cs="Arial" w:ascii="Arial" w:hAnsi="Arial"/>
          <w:i/>
          <w:iCs/>
          <w:rtl w:val="true"/>
        </w:rPr>
        <w:t>"</w:t>
      </w:r>
      <w:r>
        <w:rPr>
          <w:rFonts w:ascii="Arial" w:hAnsi="Arial" w:cs="Arial"/>
          <w:i/>
          <w:i/>
          <w:iCs/>
          <w:rtl w:val="true"/>
        </w:rPr>
        <w:t>הנתקף</w:t>
      </w:r>
      <w:r>
        <w:rPr>
          <w:rFonts w:cs="Arial" w:ascii="Arial" w:hAnsi="Arial"/>
          <w:i/>
          <w:iCs/>
          <w:rtl w:val="true"/>
        </w:rPr>
        <w:t xml:space="preserve">" </w:t>
      </w:r>
      <w:r>
        <w:rPr>
          <w:rFonts w:cs="Arial" w:ascii="Arial" w:hAnsi="Arial"/>
          <w:i/>
          <w:iCs/>
          <w:rtl w:val="true"/>
        </w:rPr>
        <w:t>–</w:t>
      </w:r>
      <w:r>
        <w:rPr>
          <w:rFonts w:cs="Arial" w:ascii="Arial" w:hAnsi="Arial"/>
          <w:i/>
          <w:iCs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ה</w:t>
      </w:r>
      <w:r>
        <w:rPr>
          <w:rFonts w:cs="Arial" w:ascii="Arial" w:hAnsi="Arial"/>
          <w:i/>
          <w:iCs/>
          <w:rtl w:val="true"/>
        </w:rPr>
        <w:t>'</w:t>
      </w:r>
      <w:r>
        <w:rPr>
          <w:rFonts w:ascii="Arial" w:hAnsi="Arial" w:cs="Arial"/>
          <w:i/>
          <w:i/>
          <w:iCs/>
          <w:rtl w:val="true"/>
        </w:rPr>
        <w:t>א</w:t>
      </w:r>
      <w:r>
        <w:rPr>
          <w:rFonts w:cs="Arial" w:ascii="Arial" w:hAnsi="Arial"/>
          <w:i/>
          <w:iCs/>
          <w:rtl w:val="true"/>
        </w:rPr>
        <w:t>'</w:t>
      </w:r>
      <w:r>
        <w:rPr>
          <w:rFonts w:ascii="Arial" w:hAnsi="Arial" w:cs="Arial"/>
          <w:i/>
          <w:i/>
          <w:iCs/>
          <w:rtl w:val="true"/>
        </w:rPr>
        <w:t>ש</w:t>
      </w:r>
      <w:r>
        <w:rPr>
          <w:rFonts w:cs="Arial" w:ascii="Arial" w:hAnsi="Arial"/>
          <w:i/>
          <w:iCs/>
          <w:rtl w:val="true"/>
        </w:rPr>
        <w:t xml:space="preserve">') </w:t>
      </w:r>
      <w:r>
        <w:rPr>
          <w:rFonts w:ascii="Arial" w:hAnsi="Arial" w:cs="Arial"/>
          <w:rtl w:val="true"/>
        </w:rPr>
        <w:t>מהצד השני היא אחותו הצעירה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 </w:t>
      </w:r>
      <w:r>
        <w:rPr>
          <w:rFonts w:cs="Arial" w:ascii="Arial" w:hAnsi="Arial"/>
        </w:rPr>
        <w:t>58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במועד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אינם מאפשרים לוותר על הרשעתו</w:t>
      </w:r>
      <w:r>
        <w:rPr>
          <w:rFonts w:cs="Arial" w:ascii="Arial" w:hAnsi="Arial"/>
          <w:rtl w:val="true"/>
        </w:rPr>
        <w:t>."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ההדגשות שלי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').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9150/08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ביטון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23.7.09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המשיב הועמד לדין בבית משפט המחוזי בירושלים בגין ביצוע עבירה של תקיפה הגורמת חבלה של ממש והפקרה לאחר פגיעה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המשיב ניסה לצאת עם רכבו מחניון מבלי לשלם עבור החניה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השומרת של החניון ניסתה למנוע את יציאתו בכך שנעמדה מול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המשיב המשיך לנסות לצאת מהחניון והשומרת התיישבה על מכסה המנוע של הרכב על מנת למנוע זאת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המשיב המשיך בנסיעה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השומרת נפלה ונחבלה והוא עזב את המקום מבלי להושיט לה עזרה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המשיב השתתף בלימודי הכנה לדיינות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המחוזי בירושלים הורה על סיום ההליך ללא הרשעה וזאת על מנת שלא לפגוע בסיכויו של המשיב להתמנות כדיין בבית הדין הרבני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המדינה הגישה ערעור לבית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הערעור התקבל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המשיב הורשע והוטל עליו 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3681/19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שבתאי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13.6.19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המבקש הורשע בבית משפט השלום בראשון לציון בביצוע עבירה של תקיפה הגורמת חבלה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בשל כך שתקף קולגה למקום עבודתו בעת שנפגש עמו באקראי בחדר כושר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הרקע לתקיפה הוא מחלוקת קודמת שהייתה ביניהם בענייני 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היה נעדר עבר פלילי והביע חשש שהרשעתו בדין תוביל לפיטוריו ממקום העבודה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משפט השלום בראשון לציון הותיר את ההרשעה על כנה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של המבקש לבית משפט המחוזי במחוז מרכז נדחה וכן נדחתה בקשת רשות ערעור שהוגשה לבית משפט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כבוד השופט אלרון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 את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מעשיו של המבקש חמורים הם וראויים לגינוי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המבקש היכה את המתלונן בחוזקה והפליא בו את מכותיו וגם לאחר שנפל על הרצפה ושכב חסר אונים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הותרת הרשעתו של המבקש על כנה יש בה להעביר מסר חד וחמור בדבר האיסור והחומרה שיש לראות בביצוע עבירות אלימות במרחב הציבורי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בתקווה שיהיה בכך כדי לשרת את האינטרס הציבורי במיגור תופעות בריונות אלו</w:t>
      </w:r>
      <w:r>
        <w:rPr>
          <w:rFonts w:cs="Arial" w:ascii="Arial" w:hAnsi="Arial"/>
          <w:rtl w:val="true"/>
        </w:rPr>
        <w:t>."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ההדגשות שלי ה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2323/17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12.6.17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כנגד המבקש הוגש כתב אישום הכולל מספר 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תקף את אשתו על רקע חשדו שהיא בוגדת בו ולכן הורשע בביצוע עבירה של תקיפה הגורמת חבלה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על אשתו והשליך לעבר בתו קופסת קרטון שפגעה ברגלה וגרמה לה למכאוב ולכן הורשע בביצוע עבירה של תקיפת סתם ואיומים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שהנאשם סילק את אשתו וילדיו מהבית בו התגורר והם עברו להתגורר עם אחיה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איים על אשתו ולכן הורשע בביצוע עבירת איומים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בעבירה של היזק לרכוש במזיד בשל כך שבעת שגיסו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אחיה של אשתו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לבית בו התגורר המבקש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האחרון סילק אותו מהבית והשליך את הטלפון הנייד של גיסו על הארץ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היה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אחריות על מעשיו והביע חרטה כנה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הביע חשש שהרשעתו תפגע בעבודתו כקבלן ולכן עתר לביטול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בכפר סבא דחה את הבקשה וערעורו של המבקש לבית משפט המחוזי במחוז מרכז נדחה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 בקשת רשות ערעור שהגיש המבקש לבית משפט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כבוד השופט שוהם קבע את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אשר לתנאי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היינו כי </w:t>
      </w:r>
      <w:r>
        <w:rPr>
          <w:rFonts w:ascii="Arial" w:hAnsi="Arial" w:cs="Arial"/>
          <w:u w:val="single"/>
          <w:rtl w:val="true"/>
        </w:rPr>
        <w:t xml:space="preserve">סוג העבירה מאפשר 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לוותר</w:t>
      </w:r>
      <w:r>
        <w:rPr>
          <w:rFonts w:cs="Arial" w:ascii="Arial" w:hAnsi="Arial"/>
          <w:u w:val="single"/>
          <w:rtl w:val="true"/>
        </w:rPr>
        <w:t xml:space="preserve">" </w:t>
      </w:r>
      <w:r>
        <w:rPr>
          <w:rFonts w:ascii="Arial" w:hAnsi="Arial" w:cs="Arial"/>
          <w:u w:val="single"/>
          <w:rtl w:val="true"/>
        </w:rPr>
        <w:t>על הרשעה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נראה בבירור כי תנאי זה אינו חל במקרה דנן</w:t>
      </w:r>
      <w:r>
        <w:rPr>
          <w:rFonts w:cs="Arial" w:ascii="Arial" w:hAnsi="Arial"/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ההדגשות שלי ה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')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עינינו הרואות כי בית משפט העליון קבע שבעת שמדובר בעבירה של תקיפה הגורמת חבלה של ממש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380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האינטרס הציבורי מחייב הרשעה בדין וזאת על מנת להעביר מסר חד וברור לגבי חומרתן של עבירות 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הנאשמת משכה שני אנשים מבוגרים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הסבא והסבתא של ילדיה מצד אביהם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וסילקה אותם מהבית שבו התגוררה וזאת בעת ששמרו על ילדיה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שהובילה אותם בניגוד לרצונם לכיוון הדלת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טרקה בחוזקה את דלת הבית מאחוריהם וכך נחבלה המתלוננת ברגלה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והכל למול ובנוכחות ילדיה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הסימנים הכחולים בכף רגלה של המתלוננת כפי שהם עולים מהתמונה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לוותר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מתייתר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הקורא</w:t>
      </w:r>
      <w:r>
        <w:rPr>
          <w:rtl w:val="true"/>
        </w:rPr>
        <w:t xml:space="preserve">,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התנאי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השני</w:t>
      </w:r>
      <w:r>
        <w:rPr>
          <w:sz w:val="28"/>
          <w:szCs w:val="28"/>
          <w:u w:val="single"/>
          <w:rtl w:val="true"/>
        </w:rPr>
        <w:t xml:space="preserve">: </w:t>
      </w:r>
      <w:r>
        <w:rPr>
          <w:sz w:val="28"/>
          <w:sz w:val="28"/>
          <w:szCs w:val="28"/>
          <w:u w:val="single"/>
          <w:rtl w:val="true"/>
        </w:rPr>
        <w:t>הוכחת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נזק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מוחשי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וקונקרטי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 "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תורשע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במרכזנו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תיגדע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</w:rPr>
          <w:t>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פיקוח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ספר</w:t>
        </w:r>
      </w:hyperlink>
      <w:r>
        <w:rPr>
          <w:rtl w:val="true"/>
        </w:rPr>
        <w:t xml:space="preserve">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start"/>
        <w:rPr/>
      </w:pPr>
      <w:r>
        <w:rPr>
          <w:rtl w:val="true"/>
        </w:rPr>
        <w:t>"</w:t>
      </w:r>
      <w:r>
        <w:rPr/>
        <w:t>16</w:t>
      </w:r>
      <w:r>
        <w:rPr>
          <w:rtl w:val="true"/>
        </w:rPr>
        <w:t>.</w:t>
        <w:tab/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4320" w:end="0"/>
        <w:jc w:val="start"/>
        <w:rPr/>
      </w:pP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להעסקתו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504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תורשע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במרכזנו</w:t>
      </w:r>
      <w:r>
        <w:rPr>
          <w:rtl w:val="true"/>
        </w:rPr>
        <w:t xml:space="preserve">",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tl w:val="true"/>
        </w:rPr>
        <w:t xml:space="preserve">. </w:t>
      </w:r>
      <w:r>
        <w:rPr>
          <w:rtl w:val="true"/>
        </w:rPr>
        <w:t>פיטורים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עבודה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עבודה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שבשיקול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שלילה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אוטומטית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tl w:val="true"/>
        </w:rPr>
        <w:t xml:space="preserve">",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פיקוח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ספר</w:t>
        </w:r>
      </w:hyperlink>
      <w:r>
        <w:rPr>
          <w:rtl w:val="true"/>
        </w:rPr>
        <w:t xml:space="preserve">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8927/06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אלפסי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14.10.07</w:t>
      </w:r>
      <w:r>
        <w:rPr>
          <w:rtl w:val="true"/>
        </w:rPr>
        <w:t xml:space="preserve">).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ההתנתקות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מעזה</w:t>
      </w:r>
      <w:r>
        <w:rPr>
          <w:rtl w:val="true"/>
        </w:rPr>
        <w:t xml:space="preserve">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סטאז</w:t>
      </w:r>
      <w:r>
        <w:rPr>
          <w:rtl w:val="true"/>
        </w:rPr>
        <w:t xml:space="preserve">')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tl w:val="true"/>
        </w:rPr>
        <w:t xml:space="preserve">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בהרכב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שלושה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שופטים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),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וכולל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לפניה</w:t>
      </w:r>
      <w:r>
        <w:rPr>
          <w:rtl w:val="true"/>
        </w:rPr>
        <w:t xml:space="preserve">. </w:t>
      </w: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לשאלת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התעסוקה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במערכת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החינוך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רשמנו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לפנינו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עמדת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המדינה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בירור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נעולה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המפתח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בדיקה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בגישה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לטעמנו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פגם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הפיקוח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הספר</w:t>
        </w:r>
      </w:hyperlink>
      <w:r>
        <w:rPr>
          <w:rtl w:val="true"/>
        </w:rPr>
        <w:t xml:space="preserve">, </w:t>
      </w:r>
      <w:r>
        <w:rPr>
          <w:rtl w:val="true"/>
        </w:rPr>
        <w:t>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tl w:val="true"/>
        </w:rPr>
        <w:t xml:space="preserve">. </w:t>
      </w:r>
      <w:r>
        <w:rPr>
          <w:u w:val="single"/>
          <w:rtl w:val="true"/>
        </w:rPr>
        <w:t>אלה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נושאים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לשיקול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  <w:tab/>
        <w:tab/>
      </w: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9042/17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27.12.17</w:t>
      </w:r>
      <w:r>
        <w:rPr>
          <w:rtl w:val="true"/>
        </w:rPr>
        <w:t xml:space="preserve">).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סיימה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u w:val="single"/>
          <w:rtl w:val="true"/>
        </w:rPr>
        <w:t>שכן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להצביע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קונקרטי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למבקשת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בעקבות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הרשעתה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וכאמור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ההשפעה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התלמידים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והפגיעה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בדימויה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העצמי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אינם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מהווים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קריטריונים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מוכרים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להימנע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מהרשעה</w:t>
      </w:r>
      <w:r>
        <w:rPr>
          <w:u w:val="single"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), </w:t>
      </w:r>
      <w:r>
        <w:rPr>
          <w:rtl w:val="true"/>
        </w:rPr>
        <w:t>מתייתר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10.9.19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10.10.19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10.11.19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6321-12-16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פלונית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80" TargetMode="External"/><Relationship Id="rId4" Type="http://schemas.openxmlformats.org/officeDocument/2006/relationships/hyperlink" Target="http://www.nevo.co.il/law/71989" TargetMode="External"/><Relationship Id="rId5" Type="http://schemas.openxmlformats.org/officeDocument/2006/relationships/hyperlink" Target="http://www.nevo.co.il/law/71989/16.a." TargetMode="External"/><Relationship Id="rId6" Type="http://schemas.openxmlformats.org/officeDocument/2006/relationships/hyperlink" Target="http://www.nevo.co.il/law/71989/16.b.2" TargetMode="External"/><Relationship Id="rId7" Type="http://schemas.openxmlformats.org/officeDocument/2006/relationships/hyperlink" Target="http://www.nevo.co.il/law/70301/380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80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16941543" TargetMode="External"/><Relationship Id="rId12" Type="http://schemas.openxmlformats.org/officeDocument/2006/relationships/hyperlink" Target="http://www.nevo.co.il/case/18082261" TargetMode="External"/><Relationship Id="rId13" Type="http://schemas.openxmlformats.org/officeDocument/2006/relationships/hyperlink" Target="http://www.nevo.co.il/case/6146169" TargetMode="External"/><Relationship Id="rId14" Type="http://schemas.openxmlformats.org/officeDocument/2006/relationships/hyperlink" Target="http://www.nevo.co.il/case/25743441" TargetMode="External"/><Relationship Id="rId15" Type="http://schemas.openxmlformats.org/officeDocument/2006/relationships/hyperlink" Target="http://www.nevo.co.il/case/22326235" TargetMode="External"/><Relationship Id="rId16" Type="http://schemas.openxmlformats.org/officeDocument/2006/relationships/hyperlink" Target="http://www.nevo.co.il/law/70301/380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1989/16.a.;16.b.2" TargetMode="External"/><Relationship Id="rId19" Type="http://schemas.openxmlformats.org/officeDocument/2006/relationships/hyperlink" Target="http://www.nevo.co.il/law/71989" TargetMode="External"/><Relationship Id="rId20" Type="http://schemas.openxmlformats.org/officeDocument/2006/relationships/hyperlink" Target="http://www.nevo.co.il/law/71989/16.b.2" TargetMode="External"/><Relationship Id="rId21" Type="http://schemas.openxmlformats.org/officeDocument/2006/relationships/hyperlink" Target="http://www.nevo.co.il/law/71989" TargetMode="External"/><Relationship Id="rId22" Type="http://schemas.openxmlformats.org/officeDocument/2006/relationships/hyperlink" Target="http://www.nevo.co.il/case/6239737" TargetMode="External"/><Relationship Id="rId23" Type="http://schemas.openxmlformats.org/officeDocument/2006/relationships/hyperlink" Target="http://www.nevo.co.il/law/71989" TargetMode="External"/><Relationship Id="rId24" Type="http://schemas.openxmlformats.org/officeDocument/2006/relationships/hyperlink" Target="http://www.nevo.co.il/case/23508942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2019-07-14T12:11:00Z</dcterms:created>
  <dc:creator> </dc:creator>
  <dc:description/>
  <cp:keywords/>
  <dc:language>en-IL</dc:language>
  <cp:lastModifiedBy>h10</cp:lastModifiedBy>
  <dcterms:modified xsi:type="dcterms:W3CDTF">2019-07-14T12:11:00Z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פלונית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16941543;18082261;6146169;25743441;22326235;6239737;23508942</vt:lpwstr>
  </property>
  <property fmtid="{D5CDD505-2E9C-101B-9397-08002B2CF9AE}" pid="9" name="CITY">
    <vt:lpwstr>רמ'</vt:lpwstr>
  </property>
  <property fmtid="{D5CDD505-2E9C-101B-9397-08002B2CF9AE}" pid="10" name="DATE">
    <vt:lpwstr>20190709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70301/380:3</vt:lpwstr>
  </property>
  <property fmtid="{D5CDD505-2E9C-101B-9397-08002B2CF9AE}" pid="15" name="LAWLISTTMP2">
    <vt:lpwstr>71989/016.a;016.b.2:2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6321</vt:lpwstr>
  </property>
  <property fmtid="{D5CDD505-2E9C-101B-9397-08002B2CF9AE}" pid="23" name="NEWPARTB">
    <vt:lpwstr>12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380020190709</vt:lpwstr>
  </property>
  <property fmtid="{D5CDD505-2E9C-101B-9397-08002B2CF9AE}" pid="35" name="TYPE_N_DATE">
    <vt:lpwstr>38020190709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