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63303-06-22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הינד נבולסי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מסארוה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19.6.22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STAR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21.11.22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הטיפולי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אב לשני ילדים</w:t>
      </w:r>
      <w:r>
        <w:rPr>
          <w:rtl w:val="true"/>
        </w:rPr>
        <w:t xml:space="preserve">, </w:t>
      </w:r>
      <w:r>
        <w:rPr>
          <w:rtl w:val="true"/>
        </w:rPr>
        <w:t>עובד כחשמלאי שכיר</w:t>
      </w:r>
      <w:r>
        <w:rPr>
          <w:rtl w:val="true"/>
        </w:rPr>
        <w:t xml:space="preserve">, </w:t>
      </w:r>
      <w:r>
        <w:rPr>
          <w:rtl w:val="true"/>
        </w:rPr>
        <w:t>סובל מבעיות בגבו ונוטל קנאביס רפואי</w:t>
      </w:r>
      <w:r>
        <w:rPr>
          <w:rtl w:val="true"/>
        </w:rPr>
        <w:t xml:space="preserve">. </w:t>
      </w:r>
      <w:r>
        <w:rPr>
          <w:rtl w:val="true"/>
        </w:rPr>
        <w:t>הנאשם ללא עבר פלילי</w:t>
      </w:r>
      <w:r>
        <w:rPr>
          <w:rtl w:val="true"/>
        </w:rPr>
        <w:t xml:space="preserve">, </w:t>
      </w:r>
      <w:r>
        <w:rPr>
          <w:rtl w:val="true"/>
        </w:rPr>
        <w:t>בחקירת המעצר בהליך זה גילה הבנה ויכולת להתבוננות עצמית ביקורתית</w:t>
      </w:r>
      <w:r>
        <w:rPr>
          <w:rtl w:val="true"/>
        </w:rPr>
        <w:t xml:space="preserve">, </w:t>
      </w:r>
      <w:r>
        <w:rPr>
          <w:rtl w:val="true"/>
        </w:rPr>
        <w:t>שירות המבחן המליץ על שחרורו בתנאי מעצר בית וצו פיקוח מעצרים</w:t>
      </w:r>
      <w:r>
        <w:rPr>
          <w:rtl w:val="true"/>
        </w:rPr>
        <w:t xml:space="preserve">. </w:t>
      </w:r>
      <w:r>
        <w:rPr>
          <w:rtl w:val="true"/>
        </w:rPr>
        <w:t>בתקופת הפיקוח שולב בקבוצה לעצורי בית</w:t>
      </w:r>
      <w:r>
        <w:rPr>
          <w:rtl w:val="true"/>
        </w:rPr>
        <w:t xml:space="preserve">, </w:t>
      </w:r>
      <w:r>
        <w:rPr>
          <w:rtl w:val="true"/>
        </w:rPr>
        <w:t>שיתף פעולה והשתתפותו סייעה לו לבחון את הבעייתיות בהתנהלותו שהובילה להידרדרות במצבו</w:t>
      </w:r>
      <w:r>
        <w:rPr>
          <w:rtl w:val="true"/>
        </w:rPr>
        <w:t xml:space="preserve">. </w:t>
      </w:r>
      <w:r>
        <w:rPr>
          <w:rtl w:val="true"/>
        </w:rPr>
        <w:t>בנוסף השתלב בסדנה לימודית בנושאי חוק ומשפט במרכז הבינתחומי בהרצליה וסיימה בהצלחה</w:t>
      </w:r>
      <w:r>
        <w:rPr>
          <w:rtl w:val="true"/>
        </w:rPr>
        <w:t xml:space="preserve">. </w:t>
      </w:r>
      <w:r>
        <w:rPr>
          <w:rtl w:val="true"/>
        </w:rPr>
        <w:t>הנאשם מודה במיוחס לו אך הציג גישה מטשטשת והתקשה לקבלת אחריות מלאה על מעשיו ולהעמיק בנסיבות החזקת הנשק ומטרתה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נענה לבקשת אחר ונטל עימו את הנשק מתוך סקרנות</w:t>
      </w:r>
      <w:r>
        <w:rPr>
          <w:rtl w:val="true"/>
        </w:rPr>
        <w:t xml:space="preserve">.  </w:t>
      </w:r>
      <w:r>
        <w:rPr>
          <w:rtl w:val="true"/>
        </w:rPr>
        <w:t>שירות המבחן העריך כי ביצע את העבירה על רקע דפוסי אישיות חלשים</w:t>
      </w:r>
      <w:r>
        <w:rPr>
          <w:rtl w:val="true"/>
        </w:rPr>
        <w:t xml:space="preserve">, </w:t>
      </w:r>
      <w:r>
        <w:rPr>
          <w:rtl w:val="true"/>
        </w:rPr>
        <w:t>נטייה לקחת סיכונים והעדר שיקול דעת אודות השלכות מעשיו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ציינו לחיוב את מאמציו לקיים אורח חיים נורמטיבי</w:t>
      </w:r>
      <w:r>
        <w:rPr>
          <w:rtl w:val="true"/>
        </w:rPr>
        <w:t xml:space="preserve">, </w:t>
      </w:r>
      <w:r>
        <w:rPr>
          <w:rtl w:val="true"/>
        </w:rPr>
        <w:t>ההרתעה ממעצרו בתיק זה ושיתוף הפעולה עם גורמי הטיפול</w:t>
      </w:r>
      <w:r>
        <w:rPr>
          <w:rtl w:val="true"/>
        </w:rPr>
        <w:t xml:space="preserve">. </w:t>
      </w:r>
      <w:r>
        <w:rPr>
          <w:rtl w:val="true"/>
        </w:rPr>
        <w:t>לפיכך המליצו לאמץ את הפן הטיפולי</w:t>
      </w:r>
      <w:r>
        <w:rPr>
          <w:rtl w:val="true"/>
        </w:rPr>
        <w:t>-</w:t>
      </w:r>
      <w:r>
        <w:rPr>
          <w:rtl w:val="true"/>
        </w:rPr>
        <w:t>שקומי</w:t>
      </w:r>
      <w:r>
        <w:rPr>
          <w:rtl w:val="true"/>
        </w:rPr>
        <w:t xml:space="preserve">, </w:t>
      </w:r>
      <w:r>
        <w:rPr>
          <w:rtl w:val="true"/>
        </w:rPr>
        <w:t>להמנע משליחתו למאסר ולהעמידו בצו מבחן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בהמשך לבקשת ההגנה</w:t>
      </w:r>
      <w:r>
        <w:rPr>
          <w:rtl w:val="true"/>
        </w:rPr>
        <w:t xml:space="preserve">, </w:t>
      </w:r>
      <w:r>
        <w:rPr>
          <w:rtl w:val="true"/>
        </w:rPr>
        <w:t>הופנה הנאשם לתסקיר משלים</w:t>
      </w:r>
      <w:r>
        <w:rPr>
          <w:rtl w:val="true"/>
        </w:rPr>
        <w:t xml:space="preserve">, </w:t>
      </w:r>
      <w:r>
        <w:rPr>
          <w:rtl w:val="true"/>
        </w:rPr>
        <w:t xml:space="preserve">כעולה ממנו סיים את סדנת </w:t>
      </w:r>
      <w:r>
        <w:rPr>
          <w:rtl w:val="true"/>
        </w:rPr>
        <w:t>"</w:t>
      </w:r>
      <w:r>
        <w:rPr>
          <w:rtl w:val="true"/>
        </w:rPr>
        <w:t>חוק ומשפט</w:t>
      </w:r>
      <w:r>
        <w:rPr>
          <w:rtl w:val="true"/>
        </w:rPr>
        <w:t xml:space="preserve">" </w:t>
      </w:r>
      <w:r>
        <w:rPr>
          <w:rtl w:val="true"/>
        </w:rPr>
        <w:t>בה נטל חלק וכן השתלב בקבוצה טיפולית המתמקדת בהתנהגות עבריינית לאנשים בגילו</w:t>
      </w:r>
      <w:r>
        <w:rPr>
          <w:rtl w:val="true"/>
        </w:rPr>
        <w:t xml:space="preserve">. </w:t>
      </w:r>
      <w:r>
        <w:rPr>
          <w:rtl w:val="true"/>
        </w:rPr>
        <w:t>ניכר כי מגלה נכונות לשתף פעולה ורכש מיומנויות וכלים טיפוליים</w:t>
      </w:r>
      <w:r>
        <w:rPr>
          <w:rtl w:val="true"/>
        </w:rPr>
        <w:t xml:space="preserve">. </w:t>
      </w:r>
      <w:r>
        <w:rPr>
          <w:rtl w:val="true"/>
        </w:rPr>
        <w:t>הנאשם הביע בפני שירות המבחן דאגה ולחץ רגשי מתוצאות ההליך המשפטי</w:t>
      </w:r>
      <w:r>
        <w:rPr>
          <w:rtl w:val="true"/>
        </w:rPr>
        <w:t xml:space="preserve">, </w:t>
      </w:r>
      <w:r>
        <w:rPr>
          <w:rtl w:val="true"/>
        </w:rPr>
        <w:t>כשלדבריו מודע כיום יותר לקשייו שעמדו ברקע ביצוע העבירה ולמוקדי הסיכון במצבו</w:t>
      </w:r>
      <w:r>
        <w:rPr>
          <w:rtl w:val="true"/>
        </w:rPr>
        <w:t xml:space="preserve">. </w:t>
      </w:r>
      <w:r>
        <w:rPr>
          <w:rtl w:val="true"/>
        </w:rPr>
        <w:t>שירות המבחן שב וחזר על המלצתו להסתפק בענישה בדרך של עבודות שירות לצד צו 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ענבר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 xml:space="preserve">),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10875-12-21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צאפי</w:t>
      </w:r>
      <w:r>
        <w:rPr>
          <w:rtl w:val="true"/>
        </w:rPr>
        <w:t xml:space="preserve">,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)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נתתי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לתיקוני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כולל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15-30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מתסקיריו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לאחר שבחנתי את עתירת ההגנה החלופית להסתפק במאסר בדרך של עבודות שירות מצאתי שלא לקבלה</w:t>
      </w:r>
      <w:r>
        <w:rPr>
          <w:rtl w:val="true"/>
        </w:rPr>
        <w:t xml:space="preserve">. </w:t>
      </w:r>
      <w:r>
        <w:rPr>
          <w:rtl w:val="true"/>
        </w:rPr>
        <w:t>את המקרים שבהם הסתפקו בתי המשפט בתקופה האחרונה בענישה שאינה כוללת מאסר בגין עבירות נשק</w:t>
      </w:r>
      <w:r>
        <w:rPr>
          <w:rtl w:val="true"/>
        </w:rPr>
        <w:t xml:space="preserve">, </w:t>
      </w:r>
      <w:r>
        <w:rPr>
          <w:rtl w:val="true"/>
        </w:rPr>
        <w:t>ניתן לספור על אצבעות כף יד אחת</w:t>
      </w:r>
      <w:r>
        <w:rPr>
          <w:rtl w:val="true"/>
        </w:rPr>
        <w:t xml:space="preserve">. </w:t>
      </w:r>
      <w:r>
        <w:rPr>
          <w:rtl w:val="true"/>
        </w:rPr>
        <w:t xml:space="preserve">לרב מדובר במקרי שיקום יוצאי דופן או מקרים </w:t>
      </w:r>
      <w:r>
        <w:rPr>
          <w:rtl w:val="true"/>
        </w:rPr>
        <w:t>"</w:t>
      </w:r>
      <w:r>
        <w:rPr>
          <w:rtl w:val="true"/>
        </w:rPr>
        <w:t>מאד מיוחדים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1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6332/22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פדידה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16.2.2023</w:t>
      </w:r>
      <w:r>
        <w:rPr>
          <w:rFonts w:eastAsia="Times New Roman" w:cs="Times New Roman" w:ascii="Times New Roman" w:hAnsi="Times New Roman"/>
          <w:rtl w:val="true"/>
        </w:rPr>
        <w:t xml:space="preserve">)). </w:t>
      </w:r>
      <w:r>
        <w:rPr>
          <w:rtl w:val="true"/>
        </w:rPr>
        <w:t>המקרה שלפנינו אינו נמנה בין אלו</w:t>
      </w:r>
      <w:r>
        <w:rPr>
          <w:rtl w:val="true"/>
        </w:rPr>
        <w:t xml:space="preserve">. </w:t>
      </w:r>
      <w:r>
        <w:rPr>
          <w:rtl w:val="true"/>
        </w:rPr>
        <w:t>הנאשם כמו רבים אחרים שנדונו לעונש מאסר</w:t>
      </w:r>
      <w:r>
        <w:rPr>
          <w:rtl w:val="true"/>
        </w:rPr>
        <w:t xml:space="preserve">, </w:t>
      </w:r>
      <w:r>
        <w:rPr>
          <w:rtl w:val="true"/>
        </w:rPr>
        <w:t>בעל מידות טובות</w:t>
      </w:r>
      <w:r>
        <w:rPr>
          <w:rtl w:val="true"/>
        </w:rPr>
        <w:t xml:space="preserve">, </w:t>
      </w:r>
      <w:r>
        <w:rPr>
          <w:rtl w:val="true"/>
        </w:rPr>
        <w:t>נעדר דפוסים עברייניים</w:t>
      </w:r>
      <w:r>
        <w:rPr>
          <w:rtl w:val="true"/>
        </w:rPr>
        <w:t xml:space="preserve">, </w:t>
      </w:r>
      <w:r>
        <w:rPr>
          <w:rtl w:val="true"/>
        </w:rPr>
        <w:t>שמעד מעידה חד פעמית ויש לקוות שלמד את לקחו ולא יחזור על מעשיו</w:t>
      </w:r>
      <w:r>
        <w:rPr>
          <w:rtl w:val="true"/>
        </w:rPr>
        <w:t xml:space="preserve">. 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19.6.22-5.9.22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1.1.24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15.1.24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tl w:val="true"/>
        </w:rPr>
        <w:t xml:space="preserve">, </w:t>
      </w:r>
      <w:r>
        <w:rPr>
          <w:rtl w:val="true"/>
        </w:rPr>
        <w:t>שיושבו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63303-06-22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מסארוה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894608" TargetMode="External"/><Relationship Id="rId7" Type="http://schemas.openxmlformats.org/officeDocument/2006/relationships/hyperlink" Target="http://www.nevo.co.il/case/27911638" TargetMode="External"/><Relationship Id="rId8" Type="http://schemas.openxmlformats.org/officeDocument/2006/relationships/hyperlink" Target="http://www.nevo.co.il/case/28152132" TargetMode="External"/><Relationship Id="rId9" Type="http://schemas.openxmlformats.org/officeDocument/2006/relationships/hyperlink" Target="http://www.nevo.co.il/case/28452933" TargetMode="External"/><Relationship Id="rId10" Type="http://schemas.openxmlformats.org/officeDocument/2006/relationships/hyperlink" Target="http://www.nevo.co.il/case/5568354" TargetMode="External"/><Relationship Id="rId11" Type="http://schemas.openxmlformats.org/officeDocument/2006/relationships/hyperlink" Target="http://www.nevo.co.il/case/26986974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7491153" TargetMode="External"/><Relationship Id="rId14" Type="http://schemas.openxmlformats.org/officeDocument/2006/relationships/hyperlink" Target="http://www.nevo.co.il/case/30259818" TargetMode="External"/><Relationship Id="rId15" Type="http://schemas.openxmlformats.org/officeDocument/2006/relationships/hyperlink" Target="http://www.nevo.co.il/case/2896359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2024-08-26T14:04:00Z</dcterms:created>
  <dc:creator> </dc:creator>
  <dc:description/>
  <cp:keywords/>
  <dc:language>en-IL</dc:language>
  <cp:lastModifiedBy>h1</cp:lastModifiedBy>
  <dcterms:modified xsi:type="dcterms:W3CDTF">2024-08-26T14:04:00Z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27894608;27911638;28152132;28452933;5568354;26986974;28513828;27491153;30259818;28963593</vt:lpwstr>
  </property>
  <property fmtid="{D5CDD505-2E9C-101B-9397-08002B2CF9AE}" pid="9" name="CITY">
    <vt:lpwstr>מרכז</vt:lpwstr>
  </property>
  <property fmtid="{D5CDD505-2E9C-101B-9397-08002B2CF9AE}" pid="10" name="DATE">
    <vt:lpwstr>20231204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YER">
    <vt:lpwstr>הינד נבולסי;שאדי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63303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390020231204</vt:lpwstr>
  </property>
  <property fmtid="{D5CDD505-2E9C-101B-9397-08002B2CF9AE}" pid="34" name="TYPE_N_DATE">
    <vt:lpwstr>39020231204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